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8DDA1" w14:textId="77777777" w:rsidR="00B70BA4" w:rsidRDefault="00B70BA4" w:rsidP="00A23C07">
      <w:pPr>
        <w:spacing w:after="0"/>
        <w:rPr>
          <w:b/>
          <w:bCs/>
          <w:sz w:val="18"/>
          <w:szCs w:val="18"/>
        </w:rPr>
      </w:pPr>
    </w:p>
    <w:p w14:paraId="05E4245D" w14:textId="6AD833D2" w:rsidR="00E451E2" w:rsidRPr="00E451E2" w:rsidRDefault="00E451E2" w:rsidP="00A23C07">
      <w:pPr>
        <w:spacing w:after="0"/>
        <w:rPr>
          <w:b/>
          <w:bCs/>
          <w:sz w:val="18"/>
          <w:szCs w:val="18"/>
        </w:rPr>
      </w:pPr>
      <w:r w:rsidRPr="00E451E2">
        <w:rPr>
          <w:b/>
          <w:bCs/>
          <w:sz w:val="18"/>
          <w:szCs w:val="18"/>
        </w:rPr>
        <w:t>CONFIDENTIAL</w:t>
      </w:r>
    </w:p>
    <w:p w14:paraId="523FFBCC" w14:textId="77777777" w:rsidR="00E451E2" w:rsidRDefault="00E451E2" w:rsidP="00A23C07">
      <w:pPr>
        <w:spacing w:after="0"/>
        <w:rPr>
          <w:sz w:val="18"/>
          <w:szCs w:val="18"/>
        </w:rPr>
      </w:pPr>
    </w:p>
    <w:p w14:paraId="36C0B7B6" w14:textId="2220FFDC" w:rsidR="003F2394" w:rsidRPr="00A23C07" w:rsidRDefault="00C95A0F" w:rsidP="00A23C07">
      <w:pPr>
        <w:spacing w:after="0"/>
        <w:rPr>
          <w:sz w:val="18"/>
          <w:szCs w:val="18"/>
        </w:rPr>
      </w:pPr>
      <w:r>
        <w:rPr>
          <w:sz w:val="18"/>
          <w:szCs w:val="18"/>
        </w:rPr>
        <w:t>22</w:t>
      </w:r>
      <w:r w:rsidR="00D91089">
        <w:rPr>
          <w:sz w:val="18"/>
          <w:szCs w:val="18"/>
        </w:rPr>
        <w:t xml:space="preserve"> </w:t>
      </w:r>
      <w:r w:rsidR="003C1C53">
        <w:rPr>
          <w:sz w:val="18"/>
          <w:szCs w:val="18"/>
        </w:rPr>
        <w:t>April</w:t>
      </w:r>
      <w:r w:rsidR="00D91089">
        <w:rPr>
          <w:sz w:val="18"/>
          <w:szCs w:val="18"/>
        </w:rPr>
        <w:t xml:space="preserve"> </w:t>
      </w:r>
      <w:r w:rsidR="00A23C07" w:rsidRPr="00A23C07">
        <w:rPr>
          <w:sz w:val="18"/>
          <w:szCs w:val="18"/>
        </w:rPr>
        <w:t>2025</w:t>
      </w:r>
    </w:p>
    <w:p w14:paraId="1A549663" w14:textId="77777777" w:rsidR="004C1544" w:rsidRDefault="004C1544" w:rsidP="00A23C07">
      <w:pPr>
        <w:spacing w:after="0"/>
      </w:pPr>
    </w:p>
    <w:p w14:paraId="3088352C" w14:textId="77777777" w:rsidR="00A71947" w:rsidRDefault="00A71947" w:rsidP="00706796">
      <w:pPr>
        <w:spacing w:after="0"/>
      </w:pPr>
    </w:p>
    <w:p w14:paraId="09E41104" w14:textId="77777777" w:rsidR="00A71947" w:rsidRDefault="00A71947" w:rsidP="00706796">
      <w:pPr>
        <w:spacing w:after="0"/>
      </w:pPr>
    </w:p>
    <w:p w14:paraId="180EEA52" w14:textId="77777777" w:rsidR="00A55579" w:rsidRDefault="00A55579" w:rsidP="00A23C07">
      <w:pPr>
        <w:spacing w:after="0"/>
      </w:pPr>
    </w:p>
    <w:p w14:paraId="7457AFB7" w14:textId="77777777" w:rsidR="007F6D19" w:rsidRDefault="007F6D19" w:rsidP="00A23C07">
      <w:pPr>
        <w:spacing w:after="0"/>
      </w:pPr>
    </w:p>
    <w:p w14:paraId="0EA527B6" w14:textId="77777777" w:rsidR="00982EF5" w:rsidRDefault="00982EF5" w:rsidP="00A23C07">
      <w:pPr>
        <w:spacing w:after="0"/>
      </w:pPr>
    </w:p>
    <w:p w14:paraId="1F0C2CC5" w14:textId="77777777" w:rsidR="007F6D19" w:rsidRPr="00540782" w:rsidRDefault="007F6D19" w:rsidP="00A23C07">
      <w:pPr>
        <w:spacing w:after="0"/>
      </w:pPr>
    </w:p>
    <w:p w14:paraId="47F793F2" w14:textId="7A59E989" w:rsidR="00E82484" w:rsidRPr="00E82484" w:rsidRDefault="004C28EC" w:rsidP="00A55579">
      <w:pPr>
        <w:suppressAutoHyphens w:val="0"/>
        <w:spacing w:after="0"/>
        <w:ind w:left="1440" w:hanging="1440"/>
        <w:rPr>
          <w:b/>
          <w:bCs/>
          <w:sz w:val="22"/>
          <w:szCs w:val="22"/>
        </w:rPr>
      </w:pPr>
      <w:r w:rsidRPr="008B1544">
        <w:rPr>
          <w:b/>
          <w:bCs/>
          <w:sz w:val="22"/>
          <w:szCs w:val="22"/>
          <w:u w:val="single"/>
        </w:rPr>
        <w:t>S</w:t>
      </w:r>
      <w:r w:rsidR="008B1544" w:rsidRPr="008B1544">
        <w:rPr>
          <w:b/>
          <w:bCs/>
          <w:sz w:val="22"/>
          <w:szCs w:val="22"/>
          <w:u w:val="single"/>
        </w:rPr>
        <w:t>ubject</w:t>
      </w:r>
      <w:r>
        <w:rPr>
          <w:b/>
          <w:bCs/>
          <w:sz w:val="22"/>
          <w:szCs w:val="22"/>
        </w:rPr>
        <w:t xml:space="preserve">: </w:t>
      </w:r>
      <w:r w:rsidR="00A55579">
        <w:rPr>
          <w:b/>
          <w:bCs/>
          <w:sz w:val="22"/>
          <w:szCs w:val="22"/>
        </w:rPr>
        <w:tab/>
      </w:r>
      <w:r w:rsidR="00D538AD">
        <w:rPr>
          <w:b/>
          <w:bCs/>
          <w:sz w:val="22"/>
          <w:szCs w:val="22"/>
        </w:rPr>
        <w:t xml:space="preserve">Targeted consultation on the application of the market risk </w:t>
      </w:r>
      <w:r w:rsidR="0033507C">
        <w:rPr>
          <w:b/>
          <w:bCs/>
          <w:sz w:val="22"/>
          <w:szCs w:val="22"/>
        </w:rPr>
        <w:t xml:space="preserve">prudential framework </w:t>
      </w:r>
    </w:p>
    <w:p w14:paraId="6926445C" w14:textId="77777777" w:rsidR="00B70BA4" w:rsidRDefault="00B70BA4" w:rsidP="00A23C07">
      <w:pPr>
        <w:spacing w:after="0"/>
        <w:rPr>
          <w:rFonts w:eastAsia="Times New Roman" w:cs="Calibri"/>
          <w:bCs/>
          <w:szCs w:val="20"/>
          <w:lang w:eastAsia="it-IT"/>
        </w:rPr>
      </w:pPr>
      <w:bookmarkStart w:id="0" w:name="_Hlk175661025"/>
    </w:p>
    <w:bookmarkEnd w:id="0"/>
    <w:p w14:paraId="50A9DCD0" w14:textId="77777777" w:rsidR="00091654" w:rsidRDefault="00091654" w:rsidP="00A23C07">
      <w:pPr>
        <w:spacing w:after="0"/>
        <w:rPr>
          <w:rFonts w:eastAsia="Times New Roman" w:cs="Calibri"/>
          <w:bCs/>
          <w:szCs w:val="20"/>
          <w:lang w:eastAsia="it-IT"/>
        </w:rPr>
      </w:pPr>
    </w:p>
    <w:p w14:paraId="4366A951" w14:textId="77777777" w:rsidR="00982EF5" w:rsidRDefault="009F767A" w:rsidP="00982EF5">
      <w:pPr>
        <w:spacing w:before="120" w:after="0"/>
        <w:rPr>
          <w:rFonts w:eastAsia="Times New Roman" w:cs="Calibri"/>
          <w:bCs/>
          <w:szCs w:val="20"/>
          <w:lang w:eastAsia="it-IT"/>
        </w:rPr>
      </w:pPr>
      <w:r>
        <w:rPr>
          <w:rFonts w:eastAsia="Times New Roman" w:cs="Calibri"/>
          <w:bCs/>
          <w:szCs w:val="20"/>
          <w:lang w:eastAsia="it-IT"/>
        </w:rPr>
        <w:t xml:space="preserve">The European Banking Federation has examined </w:t>
      </w:r>
      <w:r w:rsidR="00E35CBA">
        <w:rPr>
          <w:rFonts w:eastAsia="Times New Roman" w:cs="Calibri"/>
          <w:bCs/>
          <w:szCs w:val="20"/>
          <w:lang w:eastAsia="it-IT"/>
        </w:rPr>
        <w:t xml:space="preserve">with its members </w:t>
      </w:r>
      <w:r>
        <w:rPr>
          <w:rFonts w:eastAsia="Times New Roman" w:cs="Calibri"/>
          <w:bCs/>
          <w:szCs w:val="20"/>
          <w:lang w:eastAsia="it-IT"/>
        </w:rPr>
        <w:t xml:space="preserve">the </w:t>
      </w:r>
      <w:r w:rsidR="00DF5764">
        <w:rPr>
          <w:rFonts w:eastAsia="Times New Roman" w:cs="Calibri"/>
          <w:bCs/>
          <w:szCs w:val="20"/>
          <w:lang w:eastAsia="it-IT"/>
        </w:rPr>
        <w:t>consultation document</w:t>
      </w:r>
      <w:r w:rsidR="00EF0261">
        <w:rPr>
          <w:rStyle w:val="FootnoteReference"/>
          <w:rFonts w:eastAsia="Times New Roman" w:cs="Calibri"/>
          <w:bCs/>
          <w:szCs w:val="20"/>
          <w:lang w:eastAsia="it-IT"/>
        </w:rPr>
        <w:footnoteReference w:id="2"/>
      </w:r>
      <w:r w:rsidR="00554FAD">
        <w:rPr>
          <w:rFonts w:eastAsia="Times New Roman" w:cs="Calibri"/>
          <w:bCs/>
          <w:szCs w:val="20"/>
          <w:lang w:eastAsia="it-IT"/>
        </w:rPr>
        <w:t xml:space="preserve"> </w:t>
      </w:r>
      <w:r w:rsidR="00E35CBA">
        <w:rPr>
          <w:rFonts w:eastAsia="Times New Roman" w:cs="Calibri"/>
          <w:bCs/>
          <w:szCs w:val="20"/>
          <w:lang w:eastAsia="it-IT"/>
        </w:rPr>
        <w:t>of the Commission on the subject matter.</w:t>
      </w:r>
      <w:r w:rsidR="001E05F8">
        <w:rPr>
          <w:rFonts w:eastAsia="Times New Roman" w:cs="Calibri"/>
          <w:bCs/>
          <w:szCs w:val="20"/>
          <w:lang w:eastAsia="it-IT"/>
        </w:rPr>
        <w:t xml:space="preserve"> This response paper describes the </w:t>
      </w:r>
      <w:r w:rsidR="00BB75D5">
        <w:rPr>
          <w:rFonts w:eastAsia="Times New Roman" w:cs="Calibri"/>
          <w:bCs/>
          <w:szCs w:val="20"/>
          <w:lang w:eastAsia="it-IT"/>
        </w:rPr>
        <w:t>benefits and drawbacks of the different proposed options</w:t>
      </w:r>
      <w:r w:rsidR="001B12E6">
        <w:rPr>
          <w:rFonts w:eastAsia="Times New Roman" w:cs="Calibri"/>
          <w:bCs/>
          <w:szCs w:val="20"/>
          <w:lang w:eastAsia="it-IT"/>
        </w:rPr>
        <w:t xml:space="preserve">. More detailed </w:t>
      </w:r>
      <w:r w:rsidR="00982EF5">
        <w:rPr>
          <w:rFonts w:eastAsia="Times New Roman" w:cs="Calibri"/>
          <w:bCs/>
          <w:szCs w:val="20"/>
          <w:lang w:eastAsia="it-IT"/>
        </w:rPr>
        <w:t xml:space="preserve">answers will be provided by many EBF members, as well as individual perspectives on the questions raised by the Commission. </w:t>
      </w:r>
    </w:p>
    <w:p w14:paraId="27BA8165" w14:textId="52F1020A" w:rsidR="00634C80" w:rsidRDefault="007A1450" w:rsidP="004139ED">
      <w:pPr>
        <w:spacing w:before="120" w:after="0"/>
        <w:rPr>
          <w:rFonts w:eastAsia="Times New Roman" w:cs="Calibri"/>
          <w:bCs/>
          <w:szCs w:val="20"/>
          <w:lang w:eastAsia="it-IT"/>
        </w:rPr>
      </w:pPr>
      <w:r>
        <w:rPr>
          <w:rFonts w:eastAsia="Times New Roman" w:cs="Calibri"/>
          <w:bCs/>
          <w:szCs w:val="20"/>
          <w:lang w:eastAsia="it-IT"/>
        </w:rPr>
        <w:t>In 2024, t</w:t>
      </w:r>
      <w:r w:rsidR="00BE3407">
        <w:rPr>
          <w:rFonts w:eastAsia="Times New Roman" w:cs="Calibri"/>
          <w:bCs/>
          <w:szCs w:val="20"/>
          <w:lang w:eastAsia="it-IT"/>
        </w:rPr>
        <w:t xml:space="preserve">he EBF </w:t>
      </w:r>
      <w:r w:rsidR="006169D0">
        <w:rPr>
          <w:rFonts w:eastAsia="Times New Roman" w:cs="Calibri"/>
          <w:bCs/>
          <w:szCs w:val="20"/>
          <w:lang w:eastAsia="it-IT"/>
        </w:rPr>
        <w:t>recommended a series of actions</w:t>
      </w:r>
      <w:r>
        <w:rPr>
          <w:rStyle w:val="FootnoteReference"/>
          <w:rFonts w:eastAsia="Times New Roman" w:cs="Calibri"/>
          <w:bCs/>
          <w:szCs w:val="20"/>
          <w:lang w:eastAsia="it-IT"/>
        </w:rPr>
        <w:footnoteReference w:id="3"/>
      </w:r>
      <w:r w:rsidR="006169D0">
        <w:rPr>
          <w:rFonts w:eastAsia="Times New Roman" w:cs="Calibri"/>
          <w:bCs/>
          <w:szCs w:val="20"/>
          <w:lang w:eastAsia="it-IT"/>
        </w:rPr>
        <w:t xml:space="preserve"> to enhance the financing capacity of a resilient EU banking sector </w:t>
      </w:r>
      <w:proofErr w:type="gramStart"/>
      <w:r w:rsidR="00F718D1">
        <w:rPr>
          <w:rFonts w:eastAsia="Times New Roman" w:cs="Calibri"/>
          <w:bCs/>
          <w:szCs w:val="20"/>
          <w:lang w:eastAsia="it-IT"/>
        </w:rPr>
        <w:t xml:space="preserve">in order </w:t>
      </w:r>
      <w:r w:rsidR="00D051C2" w:rsidRPr="00D051C2">
        <w:rPr>
          <w:rFonts w:eastAsia="Times New Roman" w:cs="Calibri"/>
          <w:bCs/>
          <w:szCs w:val="20"/>
          <w:lang w:eastAsia="it-IT"/>
        </w:rPr>
        <w:t>to</w:t>
      </w:r>
      <w:proofErr w:type="gramEnd"/>
      <w:r w:rsidR="00D051C2" w:rsidRPr="00D051C2">
        <w:rPr>
          <w:rFonts w:eastAsia="Times New Roman" w:cs="Calibri"/>
          <w:bCs/>
          <w:szCs w:val="20"/>
          <w:lang w:eastAsia="it-IT"/>
        </w:rPr>
        <w:t xml:space="preserve"> improve European competitiveness and allow European banks to step up, without reducing their resilience</w:t>
      </w:r>
      <w:r w:rsidR="00D22B90">
        <w:rPr>
          <w:rFonts w:eastAsia="Times New Roman" w:cs="Calibri"/>
          <w:bCs/>
          <w:szCs w:val="20"/>
          <w:lang w:eastAsia="it-IT"/>
        </w:rPr>
        <w:t>. The EBF asked to</w:t>
      </w:r>
      <w:r w:rsidR="00D176AC" w:rsidRPr="00D176AC">
        <w:rPr>
          <w:rFonts w:eastAsia="Times New Roman" w:cs="Calibri"/>
          <w:bCs/>
          <w:szCs w:val="20"/>
          <w:lang w:eastAsia="it-IT"/>
        </w:rPr>
        <w:t xml:space="preserve"> provide a delay in the EU implementation of FRTB of 2 years </w:t>
      </w:r>
      <w:proofErr w:type="gramStart"/>
      <w:r w:rsidR="00D176AC" w:rsidRPr="00D176AC">
        <w:rPr>
          <w:rFonts w:eastAsia="Times New Roman" w:cs="Calibri"/>
          <w:bCs/>
          <w:szCs w:val="20"/>
          <w:lang w:eastAsia="it-IT"/>
        </w:rPr>
        <w:t>in order to</w:t>
      </w:r>
      <w:proofErr w:type="gramEnd"/>
      <w:r w:rsidR="00D176AC" w:rsidRPr="00D176AC">
        <w:rPr>
          <w:rFonts w:eastAsia="Times New Roman" w:cs="Calibri"/>
          <w:bCs/>
          <w:szCs w:val="20"/>
          <w:lang w:eastAsia="it-IT"/>
        </w:rPr>
        <w:t xml:space="preserve"> maintain a level playing field with the US and the UK. </w:t>
      </w:r>
      <w:r w:rsidR="00285504">
        <w:rPr>
          <w:rFonts w:eastAsia="Times New Roman" w:cs="Calibri"/>
          <w:bCs/>
          <w:szCs w:val="20"/>
          <w:lang w:eastAsia="it-IT"/>
        </w:rPr>
        <w:t xml:space="preserve">In that letter, the EBF also proposed that </w:t>
      </w:r>
      <w:r w:rsidR="00D176AC" w:rsidRPr="00D176AC">
        <w:rPr>
          <w:rFonts w:eastAsia="Times New Roman" w:cs="Calibri"/>
          <w:bCs/>
          <w:szCs w:val="20"/>
          <w:lang w:eastAsia="it-IT"/>
        </w:rPr>
        <w:t>European banks with less complex or less significant trading activities should be allowed to opt-in to FRTB at the originally agreed application date</w:t>
      </w:r>
      <w:r w:rsidR="00285504">
        <w:rPr>
          <w:rFonts w:eastAsia="Times New Roman" w:cs="Calibri"/>
          <w:bCs/>
          <w:szCs w:val="20"/>
          <w:lang w:eastAsia="it-IT"/>
        </w:rPr>
        <w:t xml:space="preserve">. </w:t>
      </w:r>
    </w:p>
    <w:p w14:paraId="52BA29C7" w14:textId="62A41885" w:rsidR="00644EAF" w:rsidRDefault="008E26F7" w:rsidP="004139ED">
      <w:pPr>
        <w:spacing w:before="120" w:after="0"/>
        <w:rPr>
          <w:rFonts w:eastAsia="Times New Roman" w:cs="Calibri"/>
          <w:bCs/>
          <w:szCs w:val="20"/>
          <w:lang w:eastAsia="it-IT"/>
        </w:rPr>
      </w:pPr>
      <w:r>
        <w:rPr>
          <w:rFonts w:eastAsia="Times New Roman" w:cs="Calibri"/>
          <w:bCs/>
          <w:szCs w:val="20"/>
          <w:lang w:eastAsia="it-IT"/>
        </w:rPr>
        <w:t xml:space="preserve">The Delegated Act of 24 July </w:t>
      </w:r>
      <w:r w:rsidR="00E70F08">
        <w:rPr>
          <w:rFonts w:eastAsia="Times New Roman" w:cs="Calibri"/>
          <w:bCs/>
          <w:szCs w:val="20"/>
          <w:lang w:eastAsia="it-IT"/>
        </w:rPr>
        <w:t xml:space="preserve">2024 postponed the implementation of </w:t>
      </w:r>
      <w:r w:rsidR="007027ED">
        <w:rPr>
          <w:rFonts w:eastAsia="Times New Roman" w:cs="Calibri"/>
          <w:bCs/>
          <w:szCs w:val="20"/>
          <w:lang w:eastAsia="it-IT"/>
        </w:rPr>
        <w:t xml:space="preserve">FRTB standards in one year, until 1 January 2026. </w:t>
      </w:r>
    </w:p>
    <w:p w14:paraId="3ABC8678" w14:textId="37CEA280" w:rsidR="00634C80" w:rsidRDefault="00B061B7" w:rsidP="004139ED">
      <w:pPr>
        <w:spacing w:before="120" w:after="0"/>
        <w:rPr>
          <w:rFonts w:eastAsia="Times New Roman" w:cs="Calibri"/>
          <w:bCs/>
          <w:szCs w:val="20"/>
          <w:lang w:eastAsia="it-IT"/>
        </w:rPr>
      </w:pPr>
      <w:r>
        <w:rPr>
          <w:rFonts w:eastAsia="Times New Roman" w:cs="Calibri"/>
          <w:bCs/>
          <w:szCs w:val="20"/>
          <w:lang w:eastAsia="it-IT"/>
        </w:rPr>
        <w:t xml:space="preserve">Against this background, the EBF </w:t>
      </w:r>
      <w:r w:rsidR="00F65188">
        <w:rPr>
          <w:rFonts w:eastAsia="Times New Roman" w:cs="Calibri"/>
          <w:bCs/>
          <w:szCs w:val="20"/>
          <w:lang w:eastAsia="it-IT"/>
        </w:rPr>
        <w:t xml:space="preserve">would like to share the following comments on the consultation: </w:t>
      </w:r>
    </w:p>
    <w:p w14:paraId="28620363" w14:textId="77777777" w:rsidR="00364394" w:rsidRDefault="00364394" w:rsidP="00364394">
      <w:pPr>
        <w:spacing w:before="120" w:after="0"/>
        <w:rPr>
          <w:rFonts w:eastAsia="Times New Roman" w:cs="Calibri"/>
          <w:bCs/>
          <w:szCs w:val="20"/>
          <w:lang w:eastAsia="it-IT"/>
        </w:rPr>
      </w:pPr>
      <w:r>
        <w:rPr>
          <w:rFonts w:eastAsia="Times New Roman" w:cs="Calibri"/>
          <w:bCs/>
          <w:szCs w:val="20"/>
          <w:lang w:eastAsia="it-IT"/>
        </w:rPr>
        <w:t xml:space="preserve">Firstly, the EBF would like to reiterate the fact that the level playing field in the application of market risk standards is an outstanding issue in the prudential framework in terms of competitiveness between EU and non-EU corporates, given that the former are mainly served by EU banks and the latter by non-EU banks. </w:t>
      </w:r>
    </w:p>
    <w:p w14:paraId="5328AB3B" w14:textId="77777777" w:rsidR="00364394" w:rsidRDefault="00364394" w:rsidP="00364394">
      <w:pPr>
        <w:spacing w:before="120" w:after="0"/>
        <w:rPr>
          <w:rFonts w:eastAsia="Times New Roman" w:cs="Calibri"/>
          <w:bCs/>
          <w:szCs w:val="20"/>
          <w:lang w:eastAsia="it-IT"/>
        </w:rPr>
      </w:pPr>
      <w:r>
        <w:rPr>
          <w:rFonts w:eastAsia="Times New Roman" w:cs="Calibri"/>
          <w:bCs/>
          <w:szCs w:val="20"/>
          <w:lang w:eastAsia="it-IT"/>
        </w:rPr>
        <w:t xml:space="preserve">The banking services affected by the Fundamental Review of the trading Book (FRTB) are of a global nature, therefore the Basel 4 FRTB requirements have immediate effects on the cost of international trade for EU corporates, hence preserving a level-playing field becomes imperative in the pursuit of European competitiveness vis-à-vis its peer jurisdictions. </w:t>
      </w:r>
    </w:p>
    <w:p w14:paraId="5A3DCE19" w14:textId="77777777" w:rsidR="00364394" w:rsidRDefault="00364394" w:rsidP="00364394">
      <w:pPr>
        <w:spacing w:before="120" w:after="0"/>
        <w:rPr>
          <w:rFonts w:eastAsia="Times New Roman" w:cs="Calibri"/>
          <w:bCs/>
          <w:szCs w:val="20"/>
          <w:lang w:eastAsia="it-IT"/>
        </w:rPr>
      </w:pPr>
      <w:r w:rsidRPr="004139ED">
        <w:rPr>
          <w:rFonts w:eastAsia="Times New Roman" w:cs="Calibri"/>
          <w:bCs/>
          <w:szCs w:val="20"/>
          <w:lang w:eastAsia="it-IT"/>
        </w:rPr>
        <w:t xml:space="preserve">This level-playing field </w:t>
      </w:r>
      <w:r>
        <w:rPr>
          <w:rFonts w:eastAsia="Times New Roman" w:cs="Calibri"/>
          <w:bCs/>
          <w:szCs w:val="20"/>
          <w:lang w:eastAsia="it-IT"/>
        </w:rPr>
        <w:t>objective</w:t>
      </w:r>
      <w:r w:rsidRPr="004139ED">
        <w:rPr>
          <w:rFonts w:eastAsia="Times New Roman" w:cs="Calibri"/>
          <w:bCs/>
          <w:szCs w:val="20"/>
          <w:lang w:eastAsia="it-IT"/>
        </w:rPr>
        <w:t xml:space="preserve"> is translated in the CRR3 mandate to the Commission, via the Delegated Act contained in article 461a, to identify differences in the transposition of the Basel rules among different and comparable jurisdictions, </w:t>
      </w:r>
      <w:proofErr w:type="gramStart"/>
      <w:r w:rsidRPr="004139ED">
        <w:rPr>
          <w:rFonts w:eastAsia="Times New Roman" w:cs="Calibri"/>
          <w:bCs/>
          <w:szCs w:val="20"/>
          <w:lang w:eastAsia="it-IT"/>
        </w:rPr>
        <w:t>in order to</w:t>
      </w:r>
      <w:proofErr w:type="gramEnd"/>
      <w:r w:rsidRPr="004139ED">
        <w:rPr>
          <w:rFonts w:eastAsia="Times New Roman" w:cs="Calibri"/>
          <w:bCs/>
          <w:szCs w:val="20"/>
          <w:lang w:eastAsia="it-IT"/>
        </w:rPr>
        <w:t xml:space="preserve"> preserve a level playing field and to take measures to effectively offset those observed differences</w:t>
      </w:r>
      <w:r>
        <w:rPr>
          <w:rFonts w:eastAsia="Times New Roman" w:cs="Calibri"/>
          <w:bCs/>
          <w:szCs w:val="20"/>
          <w:lang w:eastAsia="it-IT"/>
        </w:rPr>
        <w:t xml:space="preserve">.  </w:t>
      </w:r>
    </w:p>
    <w:p w14:paraId="33F99D8E" w14:textId="2D7C189D" w:rsidR="001F3603" w:rsidRDefault="00F03E19" w:rsidP="004139ED">
      <w:pPr>
        <w:spacing w:before="120" w:after="0"/>
        <w:rPr>
          <w:rFonts w:eastAsia="Times New Roman" w:cs="Calibri"/>
          <w:bCs/>
          <w:szCs w:val="20"/>
          <w:lang w:eastAsia="it-IT"/>
        </w:rPr>
      </w:pPr>
      <w:r>
        <w:rPr>
          <w:rFonts w:eastAsia="Times New Roman" w:cs="Calibri"/>
          <w:bCs/>
          <w:szCs w:val="20"/>
          <w:lang w:eastAsia="it-IT"/>
        </w:rPr>
        <w:t xml:space="preserve">The </w:t>
      </w:r>
      <w:r w:rsidRPr="00D71D85">
        <w:rPr>
          <w:rFonts w:eastAsia="Times New Roman" w:cs="Calibri"/>
          <w:b/>
          <w:szCs w:val="20"/>
          <w:lang w:eastAsia="it-IT"/>
        </w:rPr>
        <w:t>first option</w:t>
      </w:r>
      <w:r>
        <w:rPr>
          <w:rFonts w:eastAsia="Times New Roman" w:cs="Calibri"/>
          <w:bCs/>
          <w:szCs w:val="20"/>
          <w:lang w:eastAsia="it-IT"/>
        </w:rPr>
        <w:t xml:space="preserve"> put forward in the consultation paper</w:t>
      </w:r>
      <w:r w:rsidR="00704B4F">
        <w:rPr>
          <w:rFonts w:eastAsia="Times New Roman" w:cs="Calibri"/>
          <w:bCs/>
          <w:szCs w:val="20"/>
          <w:lang w:eastAsia="it-IT"/>
        </w:rPr>
        <w:t xml:space="preserve">, i.e. implementation on 1 January 2026, would fail to address the </w:t>
      </w:r>
      <w:r w:rsidR="003164EC">
        <w:rPr>
          <w:rFonts w:eastAsia="Times New Roman" w:cs="Calibri"/>
          <w:bCs/>
          <w:szCs w:val="20"/>
          <w:lang w:eastAsia="it-IT"/>
        </w:rPr>
        <w:t xml:space="preserve">abovementioned significant problem of level-playing field. </w:t>
      </w:r>
      <w:r w:rsidR="00632C14">
        <w:rPr>
          <w:rFonts w:eastAsia="Times New Roman" w:cs="Calibri"/>
          <w:bCs/>
          <w:szCs w:val="20"/>
          <w:lang w:eastAsia="it-IT"/>
        </w:rPr>
        <w:lastRenderedPageBreak/>
        <w:t xml:space="preserve">The EBF recommends the Commission to drop </w:t>
      </w:r>
      <w:r w:rsidR="005F51A8">
        <w:rPr>
          <w:rFonts w:eastAsia="Times New Roman" w:cs="Calibri"/>
          <w:bCs/>
          <w:szCs w:val="20"/>
          <w:lang w:eastAsia="it-IT"/>
        </w:rPr>
        <w:t>the first</w:t>
      </w:r>
      <w:r w:rsidR="00632C14">
        <w:rPr>
          <w:rFonts w:eastAsia="Times New Roman" w:cs="Calibri"/>
          <w:bCs/>
          <w:szCs w:val="20"/>
          <w:lang w:eastAsia="it-IT"/>
        </w:rPr>
        <w:t xml:space="preserve"> option </w:t>
      </w:r>
      <w:r w:rsidR="00B727D3">
        <w:rPr>
          <w:rFonts w:eastAsia="Times New Roman" w:cs="Calibri"/>
          <w:bCs/>
          <w:szCs w:val="20"/>
          <w:lang w:eastAsia="it-IT"/>
        </w:rPr>
        <w:t xml:space="preserve">as it does not solve the problem that </w:t>
      </w:r>
      <w:r w:rsidR="001F3603">
        <w:rPr>
          <w:rFonts w:eastAsia="Times New Roman" w:cs="Calibri"/>
          <w:bCs/>
          <w:szCs w:val="20"/>
          <w:lang w:eastAsia="it-IT"/>
        </w:rPr>
        <w:t xml:space="preserve">was intended to tackle in </w:t>
      </w:r>
      <w:r w:rsidR="00B727D3">
        <w:rPr>
          <w:rFonts w:eastAsia="Times New Roman" w:cs="Calibri"/>
          <w:bCs/>
          <w:szCs w:val="20"/>
          <w:lang w:eastAsia="it-IT"/>
        </w:rPr>
        <w:t>article 461a</w:t>
      </w:r>
      <w:r w:rsidR="001F3603">
        <w:rPr>
          <w:rFonts w:eastAsia="Times New Roman" w:cs="Calibri"/>
          <w:bCs/>
          <w:szCs w:val="20"/>
          <w:lang w:eastAsia="it-IT"/>
        </w:rPr>
        <w:t xml:space="preserve">. </w:t>
      </w:r>
      <w:r w:rsidR="005C1FBC" w:rsidRPr="005C1FBC">
        <w:rPr>
          <w:rFonts w:eastAsia="Times New Roman" w:cs="Calibri"/>
          <w:bCs/>
          <w:szCs w:val="20"/>
          <w:lang w:eastAsia="it-IT"/>
        </w:rPr>
        <w:t>The immediate implementation of FRTB would result in an immediate loss of the level</w:t>
      </w:r>
      <w:r w:rsidR="00DF07B4">
        <w:rPr>
          <w:rFonts w:eastAsia="Times New Roman" w:cs="Calibri"/>
          <w:bCs/>
          <w:szCs w:val="20"/>
          <w:lang w:eastAsia="it-IT"/>
        </w:rPr>
        <w:t>-</w:t>
      </w:r>
      <w:r w:rsidR="005C1FBC" w:rsidRPr="005C1FBC">
        <w:rPr>
          <w:rFonts w:eastAsia="Times New Roman" w:cs="Calibri"/>
          <w:bCs/>
          <w:szCs w:val="20"/>
          <w:lang w:eastAsia="it-IT"/>
        </w:rPr>
        <w:t xml:space="preserve">playing field for European banks compared to their counterparts in other jurisdictions. </w:t>
      </w:r>
      <w:r w:rsidR="00DF07B4">
        <w:rPr>
          <w:rFonts w:eastAsia="Times New Roman" w:cs="Calibri"/>
          <w:bCs/>
          <w:szCs w:val="20"/>
          <w:lang w:eastAsia="it-IT"/>
        </w:rPr>
        <w:t>I</w:t>
      </w:r>
      <w:r w:rsidR="005C1FBC" w:rsidRPr="005C1FBC">
        <w:rPr>
          <w:rFonts w:eastAsia="Times New Roman" w:cs="Calibri"/>
          <w:bCs/>
          <w:szCs w:val="20"/>
          <w:lang w:eastAsia="it-IT"/>
        </w:rPr>
        <w:t>n addition to the UK’s wait-and-see approach, the US has clearly stated its intention to relax the FRTB framework in future revisions, indicating that the Endgame standards should only be viewed as inspiration for selective choices that align with their needs</w:t>
      </w:r>
      <w:r w:rsidR="000344AC">
        <w:rPr>
          <w:rStyle w:val="FootnoteReference"/>
          <w:rFonts w:eastAsia="Times New Roman" w:cs="Calibri"/>
          <w:bCs/>
          <w:szCs w:val="20"/>
          <w:lang w:eastAsia="it-IT"/>
        </w:rPr>
        <w:footnoteReference w:id="4"/>
      </w:r>
      <w:r w:rsidR="005C1FBC" w:rsidRPr="005C1FBC">
        <w:rPr>
          <w:rFonts w:eastAsia="Times New Roman" w:cs="Calibri"/>
          <w:bCs/>
          <w:szCs w:val="20"/>
          <w:lang w:eastAsia="it-IT"/>
        </w:rPr>
        <w:t>.</w:t>
      </w:r>
    </w:p>
    <w:p w14:paraId="51381B9B" w14:textId="5E567C89" w:rsidR="00634C80" w:rsidRDefault="00883938" w:rsidP="004139ED">
      <w:pPr>
        <w:spacing w:before="120" w:after="0"/>
        <w:rPr>
          <w:rFonts w:eastAsia="Times New Roman" w:cs="Calibri"/>
          <w:bCs/>
          <w:szCs w:val="20"/>
          <w:lang w:eastAsia="it-IT"/>
        </w:rPr>
      </w:pPr>
      <w:r>
        <w:rPr>
          <w:rFonts w:eastAsia="Times New Roman" w:cs="Calibri"/>
          <w:bCs/>
          <w:szCs w:val="20"/>
          <w:lang w:eastAsia="it-IT"/>
        </w:rPr>
        <w:t xml:space="preserve">The EBF </w:t>
      </w:r>
      <w:r w:rsidRPr="003A09F1">
        <w:rPr>
          <w:rFonts w:eastAsia="Times New Roman" w:cs="Calibri"/>
          <w:b/>
          <w:szCs w:val="20"/>
          <w:lang w:eastAsia="it-IT"/>
        </w:rPr>
        <w:t>banks</w:t>
      </w:r>
      <w:r w:rsidR="003257ED" w:rsidRPr="003A09F1">
        <w:rPr>
          <w:rStyle w:val="FootnoteReference"/>
          <w:rFonts w:eastAsia="Times New Roman" w:cs="Calibri"/>
          <w:b/>
          <w:szCs w:val="20"/>
          <w:lang w:eastAsia="it-IT"/>
        </w:rPr>
        <w:footnoteReference w:id="5"/>
      </w:r>
      <w:r w:rsidRPr="003A09F1">
        <w:rPr>
          <w:rFonts w:eastAsia="Times New Roman" w:cs="Calibri"/>
          <w:b/>
          <w:szCs w:val="20"/>
          <w:lang w:eastAsia="it-IT"/>
        </w:rPr>
        <w:t xml:space="preserve"> with</w:t>
      </w:r>
      <w:r w:rsidR="00B67EE1" w:rsidRPr="003A09F1">
        <w:rPr>
          <w:rFonts w:eastAsia="Times New Roman" w:cs="Calibri"/>
          <w:b/>
          <w:szCs w:val="20"/>
          <w:lang w:eastAsia="it-IT"/>
        </w:rPr>
        <w:t xml:space="preserve"> the</w:t>
      </w:r>
      <w:r w:rsidRPr="003A09F1">
        <w:rPr>
          <w:rFonts w:eastAsia="Times New Roman" w:cs="Calibri"/>
          <w:b/>
          <w:szCs w:val="20"/>
          <w:lang w:eastAsia="it-IT"/>
        </w:rPr>
        <w:t xml:space="preserve"> </w:t>
      </w:r>
      <w:r w:rsidR="00B67EE1" w:rsidRPr="003A09F1">
        <w:rPr>
          <w:rFonts w:eastAsia="Times New Roman" w:cs="Calibri"/>
          <w:b/>
          <w:szCs w:val="20"/>
          <w:lang w:eastAsia="it-IT"/>
        </w:rPr>
        <w:t>largest</w:t>
      </w:r>
      <w:r w:rsidRPr="003A09F1">
        <w:rPr>
          <w:rFonts w:eastAsia="Times New Roman" w:cs="Calibri"/>
          <w:b/>
          <w:szCs w:val="20"/>
          <w:lang w:eastAsia="it-IT"/>
        </w:rPr>
        <w:t xml:space="preserve"> exposure to </w:t>
      </w:r>
      <w:r w:rsidR="00920880" w:rsidRPr="003A09F1">
        <w:rPr>
          <w:rFonts w:eastAsia="Times New Roman" w:cs="Calibri"/>
          <w:b/>
          <w:szCs w:val="20"/>
          <w:lang w:eastAsia="it-IT"/>
        </w:rPr>
        <w:t xml:space="preserve">competition with banks from other jurisdictions, notable the US and the UK, </w:t>
      </w:r>
      <w:r w:rsidR="00320A8A" w:rsidRPr="003A09F1">
        <w:rPr>
          <w:rFonts w:eastAsia="Times New Roman" w:cs="Calibri"/>
          <w:b/>
          <w:szCs w:val="20"/>
          <w:lang w:eastAsia="it-IT"/>
        </w:rPr>
        <w:t>prefer the adoption of the</w:t>
      </w:r>
      <w:r w:rsidR="00320A8A">
        <w:rPr>
          <w:rFonts w:eastAsia="Times New Roman" w:cs="Calibri"/>
          <w:bCs/>
          <w:szCs w:val="20"/>
          <w:lang w:eastAsia="it-IT"/>
        </w:rPr>
        <w:t xml:space="preserve"> </w:t>
      </w:r>
      <w:r w:rsidR="00320A8A" w:rsidRPr="00D71D85">
        <w:rPr>
          <w:rFonts w:eastAsia="Times New Roman" w:cs="Calibri"/>
          <w:b/>
          <w:szCs w:val="20"/>
          <w:lang w:eastAsia="it-IT"/>
        </w:rPr>
        <w:t>second option</w:t>
      </w:r>
      <w:r w:rsidR="00484053">
        <w:rPr>
          <w:rFonts w:eastAsia="Times New Roman" w:cs="Calibri"/>
          <w:bCs/>
          <w:szCs w:val="20"/>
          <w:lang w:eastAsia="it-IT"/>
        </w:rPr>
        <w:t>,</w:t>
      </w:r>
      <w:r w:rsidR="00320A8A">
        <w:rPr>
          <w:rFonts w:eastAsia="Times New Roman" w:cs="Calibri"/>
          <w:bCs/>
          <w:szCs w:val="20"/>
          <w:lang w:eastAsia="it-IT"/>
        </w:rPr>
        <w:t xml:space="preserve"> </w:t>
      </w:r>
      <w:r w:rsidR="00484053">
        <w:rPr>
          <w:rFonts w:eastAsia="Times New Roman" w:cs="Calibri"/>
          <w:bCs/>
          <w:szCs w:val="20"/>
          <w:lang w:eastAsia="it-IT"/>
        </w:rPr>
        <w:t>w</w:t>
      </w:r>
      <w:r w:rsidR="00DE2031">
        <w:rPr>
          <w:rFonts w:eastAsia="Times New Roman" w:cs="Calibri"/>
          <w:bCs/>
          <w:szCs w:val="20"/>
          <w:lang w:eastAsia="it-IT"/>
        </w:rPr>
        <w:t>hich is understood as i</w:t>
      </w:r>
      <w:r w:rsidR="00484053">
        <w:rPr>
          <w:rFonts w:eastAsia="Times New Roman" w:cs="Calibri"/>
          <w:bCs/>
          <w:szCs w:val="20"/>
          <w:lang w:eastAsia="it-IT"/>
        </w:rPr>
        <w:t xml:space="preserve">ncluding the possibility of future amendments. </w:t>
      </w:r>
      <w:r w:rsidR="00B52AE0">
        <w:rPr>
          <w:rFonts w:eastAsia="Times New Roman" w:cs="Calibri"/>
          <w:bCs/>
          <w:szCs w:val="20"/>
          <w:lang w:eastAsia="it-IT"/>
        </w:rPr>
        <w:t>Th</w:t>
      </w:r>
      <w:r w:rsidR="00B756CA">
        <w:rPr>
          <w:rFonts w:eastAsia="Times New Roman" w:cs="Calibri"/>
          <w:bCs/>
          <w:szCs w:val="20"/>
          <w:lang w:eastAsia="it-IT"/>
        </w:rPr>
        <w:t>is</w:t>
      </w:r>
      <w:r w:rsidR="00B52AE0">
        <w:rPr>
          <w:rFonts w:eastAsia="Times New Roman" w:cs="Calibri"/>
          <w:bCs/>
          <w:szCs w:val="20"/>
          <w:lang w:eastAsia="it-IT"/>
        </w:rPr>
        <w:t xml:space="preserve"> choice is grounded on the fact that </w:t>
      </w:r>
      <w:r w:rsidR="00634C80" w:rsidRPr="00634C80">
        <w:rPr>
          <w:rFonts w:eastAsia="Times New Roman" w:cs="Calibri"/>
          <w:bCs/>
          <w:szCs w:val="20"/>
          <w:lang w:eastAsia="it-IT"/>
        </w:rPr>
        <w:t xml:space="preserve">banking activities are becoming more global in its nature, specifically for the larger banks with important wholesale and investment banking activities. Many of these banks have substantial activities simultaneously in the EU, UK and US, and the misalignment regarding </w:t>
      </w:r>
      <w:r w:rsidR="00A13C4A">
        <w:rPr>
          <w:rFonts w:eastAsia="Times New Roman" w:cs="Calibri"/>
          <w:bCs/>
          <w:szCs w:val="20"/>
          <w:lang w:eastAsia="it-IT"/>
        </w:rPr>
        <w:t>FRTB</w:t>
      </w:r>
      <w:r w:rsidR="00634C80" w:rsidRPr="00634C80">
        <w:rPr>
          <w:rFonts w:eastAsia="Times New Roman" w:cs="Calibri"/>
          <w:bCs/>
          <w:szCs w:val="20"/>
          <w:lang w:eastAsia="it-IT"/>
        </w:rPr>
        <w:t xml:space="preserve"> prudential requirements </w:t>
      </w:r>
      <w:r w:rsidR="00A13C4A">
        <w:rPr>
          <w:rFonts w:eastAsia="Times New Roman" w:cs="Calibri"/>
          <w:bCs/>
          <w:szCs w:val="20"/>
          <w:lang w:eastAsia="it-IT"/>
        </w:rPr>
        <w:t xml:space="preserve">put them at a disadvantage vis-à-vis </w:t>
      </w:r>
      <w:r w:rsidR="00BC3F43">
        <w:rPr>
          <w:rFonts w:eastAsia="Times New Roman" w:cs="Calibri"/>
          <w:bCs/>
          <w:szCs w:val="20"/>
          <w:lang w:eastAsia="it-IT"/>
        </w:rPr>
        <w:t xml:space="preserve">competitor banks headquartered in the US or the UK. </w:t>
      </w:r>
      <w:proofErr w:type="gramStart"/>
      <w:r w:rsidR="00BC3F43">
        <w:rPr>
          <w:rFonts w:eastAsia="Times New Roman" w:cs="Calibri"/>
          <w:bCs/>
          <w:szCs w:val="20"/>
          <w:lang w:eastAsia="it-IT"/>
        </w:rPr>
        <w:t>As a consequence</w:t>
      </w:r>
      <w:proofErr w:type="gramEnd"/>
      <w:r w:rsidR="009F5459">
        <w:rPr>
          <w:rFonts w:eastAsia="Times New Roman" w:cs="Calibri"/>
          <w:bCs/>
          <w:szCs w:val="20"/>
          <w:lang w:eastAsia="it-IT"/>
        </w:rPr>
        <w:t>, EU banks m</w:t>
      </w:r>
      <w:r w:rsidR="005C05A4">
        <w:rPr>
          <w:rFonts w:eastAsia="Times New Roman" w:cs="Calibri"/>
          <w:bCs/>
          <w:szCs w:val="20"/>
          <w:lang w:eastAsia="it-IT"/>
        </w:rPr>
        <w:t xml:space="preserve">ay serve EU corporates in comparatively worse conditions and prices, </w:t>
      </w:r>
      <w:r w:rsidR="00634C80" w:rsidRPr="00634C80">
        <w:rPr>
          <w:rFonts w:eastAsia="Times New Roman" w:cs="Calibri"/>
          <w:bCs/>
          <w:szCs w:val="20"/>
          <w:lang w:eastAsia="it-IT"/>
        </w:rPr>
        <w:t>further complicat</w:t>
      </w:r>
      <w:r w:rsidR="005C05A4">
        <w:rPr>
          <w:rFonts w:eastAsia="Times New Roman" w:cs="Calibri"/>
          <w:bCs/>
          <w:szCs w:val="20"/>
          <w:lang w:eastAsia="it-IT"/>
        </w:rPr>
        <w:t>ing their international operations</w:t>
      </w:r>
      <w:r w:rsidR="00D10FA2">
        <w:rPr>
          <w:rFonts w:eastAsia="Times New Roman" w:cs="Calibri"/>
          <w:bCs/>
          <w:szCs w:val="20"/>
          <w:lang w:eastAsia="it-IT"/>
        </w:rPr>
        <w:t xml:space="preserve">, forcing banks to pause or reduce activities </w:t>
      </w:r>
      <w:r w:rsidR="00634C80" w:rsidRPr="00634C80">
        <w:rPr>
          <w:rFonts w:eastAsia="Times New Roman" w:cs="Calibri"/>
          <w:bCs/>
          <w:szCs w:val="20"/>
          <w:lang w:eastAsia="it-IT"/>
        </w:rPr>
        <w:t>or even shutting off some businesses</w:t>
      </w:r>
      <w:r w:rsidR="00290F47">
        <w:rPr>
          <w:rFonts w:eastAsia="Times New Roman" w:cs="Calibri"/>
          <w:bCs/>
          <w:szCs w:val="20"/>
          <w:lang w:eastAsia="it-IT"/>
        </w:rPr>
        <w:t xml:space="preserve">. </w:t>
      </w:r>
      <w:r w:rsidR="004C23A9">
        <w:rPr>
          <w:rFonts w:eastAsia="Times New Roman" w:cs="Calibri"/>
          <w:bCs/>
          <w:szCs w:val="20"/>
          <w:lang w:eastAsia="it-IT"/>
        </w:rPr>
        <w:t xml:space="preserve">Importantly, </w:t>
      </w:r>
      <w:r w:rsidR="00432112">
        <w:rPr>
          <w:rFonts w:eastAsia="Times New Roman" w:cs="Calibri"/>
          <w:bCs/>
          <w:szCs w:val="20"/>
          <w:lang w:eastAsia="it-IT"/>
        </w:rPr>
        <w:t xml:space="preserve">the second option is the simplest one in terms of </w:t>
      </w:r>
      <w:r w:rsidR="002423A9">
        <w:rPr>
          <w:rFonts w:eastAsia="Times New Roman" w:cs="Calibri"/>
          <w:bCs/>
          <w:szCs w:val="20"/>
          <w:lang w:eastAsia="it-IT"/>
        </w:rPr>
        <w:t xml:space="preserve">regulatory amendments and consistency across the EU. </w:t>
      </w:r>
      <w:r w:rsidR="00F66068">
        <w:rPr>
          <w:rFonts w:eastAsia="Times New Roman" w:cs="Calibri"/>
          <w:bCs/>
          <w:szCs w:val="20"/>
          <w:lang w:eastAsia="it-IT"/>
        </w:rPr>
        <w:t xml:space="preserve">For </w:t>
      </w:r>
      <w:r w:rsidR="00F66068" w:rsidRPr="00C16046">
        <w:rPr>
          <w:rFonts w:eastAsia="Times New Roman" w:cs="Calibri"/>
          <w:bCs/>
          <w:szCs w:val="20"/>
          <w:lang w:eastAsia="it-IT"/>
        </w:rPr>
        <w:t>medium and smaller institutions</w:t>
      </w:r>
      <w:r w:rsidR="00F66068">
        <w:rPr>
          <w:rFonts w:eastAsia="Times New Roman" w:cs="Calibri"/>
          <w:bCs/>
          <w:szCs w:val="20"/>
          <w:lang w:eastAsia="it-IT"/>
        </w:rPr>
        <w:t>,</w:t>
      </w:r>
      <w:r w:rsidR="00F66068" w:rsidRPr="00C16046">
        <w:rPr>
          <w:rFonts w:eastAsia="Times New Roman" w:cs="Calibri"/>
          <w:bCs/>
          <w:szCs w:val="20"/>
          <w:lang w:eastAsia="it-IT"/>
        </w:rPr>
        <w:t xml:space="preserve"> </w:t>
      </w:r>
      <w:r w:rsidR="00F66068">
        <w:rPr>
          <w:rFonts w:eastAsia="Times New Roman" w:cs="Calibri"/>
          <w:bCs/>
          <w:szCs w:val="20"/>
          <w:lang w:eastAsia="it-IT"/>
        </w:rPr>
        <w:t>t</w:t>
      </w:r>
      <w:r w:rsidR="00F66068" w:rsidRPr="00C16046">
        <w:rPr>
          <w:rFonts w:eastAsia="Times New Roman" w:cs="Calibri"/>
          <w:bCs/>
          <w:szCs w:val="20"/>
          <w:lang w:eastAsia="it-IT"/>
        </w:rPr>
        <w:t xml:space="preserve">here are differences in the impact of FRTB across European financial markets businesses. Some segments are materially more affected than others and there are also many, which prefer </w:t>
      </w:r>
      <w:r w:rsidR="00347F49">
        <w:rPr>
          <w:rFonts w:eastAsia="Times New Roman" w:cs="Calibri"/>
          <w:bCs/>
          <w:szCs w:val="20"/>
          <w:lang w:eastAsia="it-IT"/>
        </w:rPr>
        <w:t xml:space="preserve">the </w:t>
      </w:r>
      <w:r w:rsidR="00791A34">
        <w:rPr>
          <w:rFonts w:eastAsia="Times New Roman" w:cs="Calibri"/>
          <w:bCs/>
          <w:szCs w:val="20"/>
          <w:lang w:eastAsia="it-IT"/>
        </w:rPr>
        <w:t xml:space="preserve">postponement proposed in the </w:t>
      </w:r>
      <w:r w:rsidR="00347F49">
        <w:rPr>
          <w:rFonts w:eastAsia="Times New Roman" w:cs="Calibri"/>
          <w:bCs/>
          <w:szCs w:val="20"/>
          <w:lang w:eastAsia="it-IT"/>
        </w:rPr>
        <w:t>second option</w:t>
      </w:r>
      <w:r w:rsidR="00F66068">
        <w:rPr>
          <w:rFonts w:eastAsia="Times New Roman" w:cs="Calibri"/>
          <w:bCs/>
          <w:szCs w:val="20"/>
          <w:lang w:eastAsia="it-IT"/>
        </w:rPr>
        <w:t xml:space="preserve">. </w:t>
      </w:r>
    </w:p>
    <w:p w14:paraId="52984040" w14:textId="79D1D5AF" w:rsidR="004E7177" w:rsidRDefault="004E7177" w:rsidP="004E7177">
      <w:pPr>
        <w:spacing w:before="120" w:after="0"/>
        <w:rPr>
          <w:rFonts w:eastAsia="Times New Roman" w:cs="Calibri"/>
          <w:bCs/>
          <w:szCs w:val="20"/>
          <w:lang w:eastAsia="it-IT"/>
        </w:rPr>
      </w:pPr>
      <w:r>
        <w:rPr>
          <w:rFonts w:eastAsia="Times New Roman" w:cs="Calibri"/>
          <w:bCs/>
          <w:szCs w:val="20"/>
          <w:lang w:eastAsia="it-IT"/>
        </w:rPr>
        <w:t xml:space="preserve">In case that the second option is chosen, </w:t>
      </w:r>
      <w:r w:rsidR="00B95646">
        <w:rPr>
          <w:rFonts w:eastAsia="Times New Roman" w:cs="Calibri"/>
          <w:bCs/>
          <w:szCs w:val="20"/>
          <w:lang w:eastAsia="it-IT"/>
        </w:rPr>
        <w:t>t</w:t>
      </w:r>
      <w:r w:rsidR="00EA5206">
        <w:rPr>
          <w:rFonts w:eastAsia="Times New Roman" w:cs="Calibri"/>
          <w:bCs/>
          <w:szCs w:val="20"/>
          <w:lang w:eastAsia="it-IT"/>
        </w:rPr>
        <w:t xml:space="preserve">he following measures could be </w:t>
      </w:r>
      <w:r w:rsidR="00F523E0">
        <w:rPr>
          <w:rFonts w:eastAsia="Times New Roman" w:cs="Calibri"/>
          <w:bCs/>
          <w:szCs w:val="20"/>
          <w:lang w:eastAsia="it-IT"/>
        </w:rPr>
        <w:t xml:space="preserve">applied in combination with the second option </w:t>
      </w:r>
      <w:r w:rsidR="00AF0154">
        <w:rPr>
          <w:rFonts w:eastAsia="Times New Roman" w:cs="Calibri"/>
          <w:bCs/>
          <w:szCs w:val="20"/>
          <w:lang w:eastAsia="it-IT"/>
        </w:rPr>
        <w:t xml:space="preserve">to mitigate the operational costs incurred by the institutions </w:t>
      </w:r>
      <w:r w:rsidR="00CC2399">
        <w:rPr>
          <w:rFonts w:eastAsia="Times New Roman" w:cs="Calibri"/>
          <w:bCs/>
          <w:szCs w:val="20"/>
          <w:lang w:eastAsia="it-IT"/>
        </w:rPr>
        <w:t>that would prefer the fourth option</w:t>
      </w:r>
      <w:r>
        <w:rPr>
          <w:rFonts w:eastAsia="Times New Roman" w:cs="Calibri"/>
          <w:bCs/>
          <w:szCs w:val="20"/>
          <w:lang w:eastAsia="it-IT"/>
        </w:rPr>
        <w:t>:</w:t>
      </w:r>
    </w:p>
    <w:p w14:paraId="35E5C4DF" w14:textId="01FF9AC8" w:rsidR="004E7177" w:rsidRDefault="004E7177" w:rsidP="004E7177">
      <w:pPr>
        <w:pStyle w:val="ListParagraph"/>
        <w:numPr>
          <w:ilvl w:val="0"/>
          <w:numId w:val="9"/>
        </w:numPr>
        <w:spacing w:before="120" w:after="0"/>
        <w:ind w:left="788" w:hanging="357"/>
        <w:contextualSpacing w:val="0"/>
        <w:rPr>
          <w:rFonts w:eastAsia="Times New Roman" w:cs="Calibri"/>
          <w:bCs/>
          <w:szCs w:val="20"/>
          <w:lang w:eastAsia="it-IT"/>
        </w:rPr>
      </w:pPr>
      <w:r>
        <w:rPr>
          <w:rFonts w:eastAsia="Times New Roman" w:cs="Calibri"/>
          <w:bCs/>
          <w:szCs w:val="20"/>
          <w:lang w:eastAsia="it-IT"/>
        </w:rPr>
        <w:t>The reported market risk capital should be capped at the level of the FRTB-ASA capital and this condition will have to be accepted by the supervisors</w:t>
      </w:r>
    </w:p>
    <w:p w14:paraId="06B0C612" w14:textId="046684AB" w:rsidR="004E7177" w:rsidRDefault="004E7177" w:rsidP="004E7177">
      <w:pPr>
        <w:pStyle w:val="ListParagraph"/>
        <w:numPr>
          <w:ilvl w:val="0"/>
          <w:numId w:val="9"/>
        </w:numPr>
        <w:spacing w:before="120" w:after="0"/>
        <w:ind w:left="788" w:hanging="357"/>
        <w:contextualSpacing w:val="0"/>
        <w:rPr>
          <w:rFonts w:eastAsia="Times New Roman" w:cs="Calibri"/>
          <w:bCs/>
          <w:szCs w:val="20"/>
          <w:lang w:eastAsia="it-IT"/>
        </w:rPr>
      </w:pPr>
      <w:r w:rsidRPr="00A2273F">
        <w:rPr>
          <w:rFonts w:eastAsia="Times New Roman" w:cs="Calibri"/>
          <w:bCs/>
          <w:szCs w:val="20"/>
          <w:lang w:eastAsia="it-IT"/>
        </w:rPr>
        <w:t>The deadline for resolving all currently outstanding findings on IMA models should be postponed to the FRTB</w:t>
      </w:r>
      <w:r>
        <w:rPr>
          <w:rFonts w:eastAsia="Times New Roman" w:cs="Calibri"/>
          <w:bCs/>
          <w:szCs w:val="20"/>
          <w:lang w:eastAsia="it-IT"/>
        </w:rPr>
        <w:t xml:space="preserve"> </w:t>
      </w:r>
      <w:r w:rsidRPr="00A2273F">
        <w:rPr>
          <w:rFonts w:eastAsia="Times New Roman" w:cs="Calibri"/>
          <w:bCs/>
          <w:szCs w:val="20"/>
          <w:lang w:eastAsia="it-IT"/>
        </w:rPr>
        <w:t xml:space="preserve">implementation date </w:t>
      </w:r>
      <w:r>
        <w:rPr>
          <w:rFonts w:eastAsia="Times New Roman" w:cs="Calibri"/>
          <w:bCs/>
          <w:szCs w:val="20"/>
          <w:lang w:eastAsia="it-IT"/>
        </w:rPr>
        <w:t>plus</w:t>
      </w:r>
      <w:r w:rsidRPr="00A2273F">
        <w:rPr>
          <w:rFonts w:eastAsia="Times New Roman" w:cs="Calibri"/>
          <w:bCs/>
          <w:szCs w:val="20"/>
          <w:lang w:eastAsia="it-IT"/>
        </w:rPr>
        <w:t xml:space="preserve"> 1 day</w:t>
      </w:r>
      <w:r>
        <w:rPr>
          <w:rFonts w:eastAsia="Times New Roman" w:cs="Calibri"/>
          <w:bCs/>
          <w:szCs w:val="20"/>
          <w:lang w:eastAsia="it-IT"/>
        </w:rPr>
        <w:t xml:space="preserve"> to </w:t>
      </w:r>
      <w:r w:rsidR="00C1665C" w:rsidRPr="00C1665C">
        <w:rPr>
          <w:rFonts w:eastAsia="Times New Roman" w:cs="Calibri"/>
          <w:bCs/>
          <w:szCs w:val="20"/>
          <w:lang w:eastAsia="it-IT"/>
        </w:rPr>
        <w:t xml:space="preserve">limit the amount of banks’ resources devoted to models with a short residual life for </w:t>
      </w:r>
      <w:r>
        <w:rPr>
          <w:rFonts w:eastAsia="Times New Roman" w:cs="Calibri"/>
          <w:bCs/>
          <w:szCs w:val="20"/>
          <w:lang w:eastAsia="it-IT"/>
        </w:rPr>
        <w:t>banks that will migrate to the ASA</w:t>
      </w:r>
    </w:p>
    <w:p w14:paraId="4844CDDE" w14:textId="15224F3E" w:rsidR="004E7177" w:rsidRPr="00204C77" w:rsidRDefault="004E7177" w:rsidP="00204C77">
      <w:pPr>
        <w:pStyle w:val="ListParagraph"/>
        <w:numPr>
          <w:ilvl w:val="0"/>
          <w:numId w:val="9"/>
        </w:numPr>
        <w:spacing w:before="120" w:after="0"/>
        <w:ind w:left="788" w:hanging="357"/>
        <w:contextualSpacing w:val="0"/>
        <w:rPr>
          <w:rFonts w:eastAsia="Times New Roman" w:cs="Calibri"/>
          <w:bCs/>
          <w:szCs w:val="20"/>
          <w:lang w:eastAsia="it-IT"/>
        </w:rPr>
      </w:pPr>
      <w:r w:rsidRPr="00345BDD">
        <w:rPr>
          <w:rFonts w:eastAsia="Times New Roman" w:cs="Calibri"/>
          <w:bCs/>
          <w:szCs w:val="20"/>
          <w:lang w:eastAsia="it-IT"/>
        </w:rPr>
        <w:t>The EBA model change materiality assessment requirements</w:t>
      </w:r>
      <w:r>
        <w:rPr>
          <w:rFonts w:eastAsia="Times New Roman" w:cs="Calibri"/>
          <w:bCs/>
          <w:szCs w:val="20"/>
          <w:lang w:eastAsia="it-IT"/>
        </w:rPr>
        <w:t xml:space="preserve"> should be much lighter to avoid burdensome and costly processes for the banks that will migrate to the ASA</w:t>
      </w:r>
    </w:p>
    <w:p w14:paraId="3C434CA3" w14:textId="2C010810" w:rsidR="00290F47" w:rsidRDefault="00CC1241" w:rsidP="004139ED">
      <w:pPr>
        <w:spacing w:before="120" w:after="0"/>
        <w:rPr>
          <w:rFonts w:eastAsia="Times New Roman" w:cs="Calibri"/>
          <w:bCs/>
          <w:szCs w:val="20"/>
          <w:lang w:eastAsia="it-IT"/>
        </w:rPr>
      </w:pPr>
      <w:r>
        <w:rPr>
          <w:rFonts w:eastAsia="Times New Roman" w:cs="Calibri"/>
          <w:bCs/>
          <w:szCs w:val="20"/>
          <w:lang w:eastAsia="it-IT"/>
        </w:rPr>
        <w:t xml:space="preserve">The </w:t>
      </w:r>
      <w:r w:rsidRPr="00D71D85">
        <w:rPr>
          <w:rFonts w:eastAsia="Times New Roman" w:cs="Calibri"/>
          <w:b/>
          <w:szCs w:val="20"/>
          <w:lang w:eastAsia="it-IT"/>
        </w:rPr>
        <w:t>third option</w:t>
      </w:r>
      <w:r>
        <w:rPr>
          <w:rFonts w:eastAsia="Times New Roman" w:cs="Calibri"/>
          <w:bCs/>
          <w:szCs w:val="20"/>
          <w:lang w:eastAsia="it-IT"/>
        </w:rPr>
        <w:t xml:space="preserve"> would fail to address the misalignment of implementation dates </w:t>
      </w:r>
      <w:r w:rsidR="009E5E06">
        <w:rPr>
          <w:rFonts w:eastAsia="Times New Roman" w:cs="Calibri"/>
          <w:bCs/>
          <w:szCs w:val="20"/>
          <w:lang w:eastAsia="it-IT"/>
        </w:rPr>
        <w:t>with the US and the UK</w:t>
      </w:r>
      <w:r w:rsidR="00F00CE7">
        <w:rPr>
          <w:rFonts w:eastAsia="Times New Roman" w:cs="Calibri"/>
          <w:bCs/>
          <w:szCs w:val="20"/>
          <w:lang w:eastAsia="it-IT"/>
        </w:rPr>
        <w:t xml:space="preserve">. While </w:t>
      </w:r>
      <w:r w:rsidR="00B05A87">
        <w:rPr>
          <w:rFonts w:eastAsia="Times New Roman" w:cs="Calibri"/>
          <w:bCs/>
          <w:szCs w:val="20"/>
          <w:lang w:eastAsia="it-IT"/>
        </w:rPr>
        <w:t>many</w:t>
      </w:r>
      <w:r w:rsidR="00F00CE7">
        <w:rPr>
          <w:rFonts w:eastAsia="Times New Roman" w:cs="Calibri"/>
          <w:bCs/>
          <w:szCs w:val="20"/>
          <w:lang w:eastAsia="it-IT"/>
        </w:rPr>
        <w:t xml:space="preserve"> of the proposals </w:t>
      </w:r>
      <w:r w:rsidR="002E7345">
        <w:rPr>
          <w:rFonts w:eastAsia="Times New Roman" w:cs="Calibri"/>
          <w:bCs/>
          <w:szCs w:val="20"/>
          <w:lang w:eastAsia="it-IT"/>
        </w:rPr>
        <w:t xml:space="preserve">address very important concerns and should be further developed </w:t>
      </w:r>
      <w:r w:rsidR="00304926">
        <w:rPr>
          <w:rFonts w:eastAsia="Times New Roman" w:cs="Calibri"/>
          <w:bCs/>
          <w:szCs w:val="20"/>
          <w:lang w:eastAsia="it-IT"/>
        </w:rPr>
        <w:t xml:space="preserve">in the future, </w:t>
      </w:r>
      <w:r w:rsidR="00093593">
        <w:rPr>
          <w:rFonts w:eastAsia="Times New Roman" w:cs="Calibri"/>
          <w:bCs/>
          <w:szCs w:val="20"/>
          <w:lang w:eastAsia="it-IT"/>
        </w:rPr>
        <w:t xml:space="preserve">they seem not sufficient to </w:t>
      </w:r>
      <w:r w:rsidR="00304926">
        <w:rPr>
          <w:rFonts w:eastAsia="Times New Roman" w:cs="Calibri"/>
          <w:bCs/>
          <w:szCs w:val="20"/>
          <w:lang w:eastAsia="it-IT"/>
        </w:rPr>
        <w:t xml:space="preserve">meet the objective of preserving the level-playing field. </w:t>
      </w:r>
      <w:r w:rsidR="00D8688A">
        <w:rPr>
          <w:rFonts w:eastAsia="Times New Roman" w:cs="Calibri"/>
          <w:bCs/>
          <w:szCs w:val="20"/>
          <w:lang w:eastAsia="it-IT"/>
        </w:rPr>
        <w:t xml:space="preserve">The measures proposed </w:t>
      </w:r>
      <w:r w:rsidR="000E02F5">
        <w:rPr>
          <w:rFonts w:eastAsia="Times New Roman" w:cs="Calibri"/>
          <w:bCs/>
          <w:szCs w:val="20"/>
          <w:lang w:eastAsia="it-IT"/>
        </w:rPr>
        <w:t>would</w:t>
      </w:r>
      <w:r w:rsidR="0070681F" w:rsidRPr="0070681F">
        <w:rPr>
          <w:rFonts w:eastAsia="Times New Roman" w:cs="Calibri"/>
          <w:bCs/>
          <w:szCs w:val="20"/>
          <w:lang w:eastAsia="it-IT"/>
        </w:rPr>
        <w:t xml:space="preserve"> not </w:t>
      </w:r>
      <w:r w:rsidR="000E02F5">
        <w:rPr>
          <w:rFonts w:eastAsia="Times New Roman" w:cs="Calibri"/>
          <w:bCs/>
          <w:szCs w:val="20"/>
          <w:lang w:eastAsia="it-IT"/>
        </w:rPr>
        <w:t xml:space="preserve">be </w:t>
      </w:r>
      <w:r w:rsidR="0070681F" w:rsidRPr="0070681F">
        <w:rPr>
          <w:rFonts w:eastAsia="Times New Roman" w:cs="Calibri"/>
          <w:bCs/>
          <w:szCs w:val="20"/>
          <w:lang w:eastAsia="it-IT"/>
        </w:rPr>
        <w:t>sufficient to avoid significant increase in capital requirements</w:t>
      </w:r>
      <w:r w:rsidR="00D8688A">
        <w:rPr>
          <w:rFonts w:eastAsia="Times New Roman" w:cs="Calibri"/>
          <w:bCs/>
          <w:szCs w:val="20"/>
          <w:lang w:eastAsia="it-IT"/>
        </w:rPr>
        <w:t xml:space="preserve">. </w:t>
      </w:r>
      <w:r w:rsidR="001F72A6">
        <w:rPr>
          <w:rFonts w:eastAsia="Times New Roman" w:cs="Calibri"/>
          <w:bCs/>
          <w:szCs w:val="20"/>
          <w:lang w:eastAsia="it-IT"/>
        </w:rPr>
        <w:t>Nevertheless</w:t>
      </w:r>
      <w:r w:rsidR="001F72A6" w:rsidRPr="001F72A6">
        <w:rPr>
          <w:rFonts w:eastAsia="Times New Roman" w:cs="Calibri"/>
          <w:bCs/>
          <w:szCs w:val="20"/>
          <w:lang w:eastAsia="it-IT"/>
        </w:rPr>
        <w:t>, this option would release some banks from having to run the two systems in parallel.</w:t>
      </w:r>
      <w:r w:rsidR="001F72A6">
        <w:rPr>
          <w:rFonts w:eastAsia="Times New Roman" w:cs="Calibri"/>
          <w:bCs/>
          <w:szCs w:val="20"/>
          <w:lang w:eastAsia="it-IT"/>
        </w:rPr>
        <w:t xml:space="preserve"> </w:t>
      </w:r>
    </w:p>
    <w:p w14:paraId="071AAED8" w14:textId="59183EDB" w:rsidR="00466151" w:rsidRDefault="00BB1622" w:rsidP="004139ED">
      <w:pPr>
        <w:spacing w:before="120" w:after="0"/>
        <w:rPr>
          <w:rFonts w:eastAsia="Times New Roman" w:cs="Calibri"/>
          <w:bCs/>
          <w:szCs w:val="20"/>
          <w:lang w:eastAsia="it-IT"/>
        </w:rPr>
      </w:pPr>
      <w:r>
        <w:rPr>
          <w:rFonts w:eastAsia="Times New Roman" w:cs="Calibri"/>
          <w:bCs/>
          <w:szCs w:val="20"/>
          <w:lang w:eastAsia="it-IT"/>
        </w:rPr>
        <w:lastRenderedPageBreak/>
        <w:t>A</w:t>
      </w:r>
      <w:r w:rsidR="0075072A">
        <w:rPr>
          <w:rFonts w:eastAsia="Times New Roman" w:cs="Calibri"/>
          <w:bCs/>
          <w:szCs w:val="20"/>
          <w:lang w:eastAsia="it-IT"/>
        </w:rPr>
        <w:t>n alternative</w:t>
      </w:r>
      <w:r w:rsidR="00304926">
        <w:rPr>
          <w:rFonts w:eastAsia="Times New Roman" w:cs="Calibri"/>
          <w:bCs/>
          <w:szCs w:val="20"/>
          <w:lang w:eastAsia="it-IT"/>
        </w:rPr>
        <w:t xml:space="preserve"> </w:t>
      </w:r>
      <w:r w:rsidR="00304926" w:rsidRPr="00D71D85">
        <w:rPr>
          <w:rFonts w:eastAsia="Times New Roman" w:cs="Calibri"/>
          <w:b/>
          <w:szCs w:val="20"/>
          <w:lang w:eastAsia="it-IT"/>
        </w:rPr>
        <w:t>fourth option</w:t>
      </w:r>
      <w:r w:rsidR="0075072A">
        <w:rPr>
          <w:rStyle w:val="FootnoteReference"/>
          <w:rFonts w:eastAsia="Times New Roman" w:cs="Calibri"/>
          <w:b/>
          <w:szCs w:val="20"/>
          <w:lang w:eastAsia="it-IT"/>
        </w:rPr>
        <w:footnoteReference w:id="6"/>
      </w:r>
      <w:r w:rsidR="00304926">
        <w:rPr>
          <w:rFonts w:eastAsia="Times New Roman" w:cs="Calibri"/>
          <w:bCs/>
          <w:szCs w:val="20"/>
          <w:lang w:eastAsia="it-IT"/>
        </w:rPr>
        <w:t xml:space="preserve">, </w:t>
      </w:r>
      <w:r w:rsidR="000E1911">
        <w:rPr>
          <w:rFonts w:eastAsia="Times New Roman" w:cs="Calibri"/>
          <w:bCs/>
          <w:szCs w:val="20"/>
          <w:lang w:eastAsia="it-IT"/>
        </w:rPr>
        <w:t xml:space="preserve">as combination of the previous ones, has gained support of </w:t>
      </w:r>
      <w:r w:rsidR="00900AC8">
        <w:rPr>
          <w:rFonts w:eastAsia="Times New Roman" w:cs="Calibri"/>
          <w:bCs/>
          <w:szCs w:val="20"/>
          <w:lang w:eastAsia="it-IT"/>
        </w:rPr>
        <w:t xml:space="preserve">several </w:t>
      </w:r>
      <w:r w:rsidR="000E1911">
        <w:rPr>
          <w:rFonts w:eastAsia="Times New Roman" w:cs="Calibri"/>
          <w:bCs/>
          <w:szCs w:val="20"/>
          <w:lang w:eastAsia="it-IT"/>
        </w:rPr>
        <w:t>EBF banks. It would consist o</w:t>
      </w:r>
      <w:r w:rsidR="0009211E">
        <w:rPr>
          <w:rFonts w:eastAsia="Times New Roman" w:cs="Calibri"/>
          <w:bCs/>
          <w:szCs w:val="20"/>
          <w:lang w:eastAsia="it-IT"/>
        </w:rPr>
        <w:t>f</w:t>
      </w:r>
      <w:r w:rsidR="000E1911">
        <w:rPr>
          <w:rFonts w:eastAsia="Times New Roman" w:cs="Calibri"/>
          <w:bCs/>
          <w:szCs w:val="20"/>
          <w:lang w:eastAsia="it-IT"/>
        </w:rPr>
        <w:t xml:space="preserve"> delaying the date of application </w:t>
      </w:r>
      <w:r w:rsidR="0009211E">
        <w:rPr>
          <w:rFonts w:eastAsia="Times New Roman" w:cs="Calibri"/>
          <w:bCs/>
          <w:szCs w:val="20"/>
          <w:lang w:eastAsia="it-IT"/>
        </w:rPr>
        <w:t>for</w:t>
      </w:r>
      <w:r w:rsidR="000E1911">
        <w:rPr>
          <w:rFonts w:eastAsia="Times New Roman" w:cs="Calibri"/>
          <w:bCs/>
          <w:szCs w:val="20"/>
          <w:lang w:eastAsia="it-IT"/>
        </w:rPr>
        <w:t xml:space="preserve"> the </w:t>
      </w:r>
      <w:r w:rsidR="008260B9">
        <w:rPr>
          <w:rFonts w:eastAsia="Times New Roman" w:cs="Calibri"/>
          <w:bCs/>
          <w:szCs w:val="20"/>
          <w:lang w:eastAsia="it-IT"/>
        </w:rPr>
        <w:t xml:space="preserve">alternative internal model approach </w:t>
      </w:r>
      <w:r w:rsidR="00B739F2">
        <w:rPr>
          <w:rFonts w:eastAsia="Times New Roman" w:cs="Calibri"/>
          <w:bCs/>
          <w:szCs w:val="20"/>
          <w:lang w:eastAsia="it-IT"/>
        </w:rPr>
        <w:t xml:space="preserve">(AIMA) </w:t>
      </w:r>
      <w:r w:rsidR="008260B9">
        <w:rPr>
          <w:rFonts w:eastAsia="Times New Roman" w:cs="Calibri"/>
          <w:bCs/>
          <w:szCs w:val="20"/>
          <w:lang w:eastAsia="it-IT"/>
        </w:rPr>
        <w:t xml:space="preserve">while keeping the date of </w:t>
      </w:r>
      <w:r w:rsidR="00622F84">
        <w:rPr>
          <w:rFonts w:eastAsia="Times New Roman" w:cs="Calibri"/>
          <w:bCs/>
          <w:szCs w:val="20"/>
          <w:lang w:eastAsia="it-IT"/>
        </w:rPr>
        <w:t xml:space="preserve">application </w:t>
      </w:r>
      <w:r w:rsidR="008260B9">
        <w:rPr>
          <w:rFonts w:eastAsia="Times New Roman" w:cs="Calibri"/>
          <w:bCs/>
          <w:szCs w:val="20"/>
          <w:lang w:eastAsia="it-IT"/>
        </w:rPr>
        <w:t xml:space="preserve">of 1 January 2026 for the </w:t>
      </w:r>
      <w:r w:rsidR="00840AF2">
        <w:rPr>
          <w:rFonts w:eastAsia="Times New Roman" w:cs="Calibri"/>
          <w:bCs/>
          <w:szCs w:val="20"/>
          <w:lang w:eastAsia="it-IT"/>
        </w:rPr>
        <w:t>alternative standardised approach</w:t>
      </w:r>
      <w:r w:rsidR="00B739F2">
        <w:rPr>
          <w:rFonts w:eastAsia="Times New Roman" w:cs="Calibri"/>
          <w:bCs/>
          <w:szCs w:val="20"/>
          <w:lang w:eastAsia="it-IT"/>
        </w:rPr>
        <w:t xml:space="preserve"> (ASA)</w:t>
      </w:r>
      <w:r w:rsidR="00BB0409">
        <w:rPr>
          <w:rFonts w:eastAsia="Times New Roman" w:cs="Calibri"/>
          <w:bCs/>
          <w:szCs w:val="20"/>
          <w:lang w:eastAsia="it-IT"/>
        </w:rPr>
        <w:t xml:space="preserve"> including the targeted amendments proposed,</w:t>
      </w:r>
      <w:r w:rsidR="002D3B64">
        <w:rPr>
          <w:rFonts w:eastAsia="Times New Roman" w:cs="Calibri"/>
          <w:bCs/>
          <w:szCs w:val="20"/>
          <w:lang w:eastAsia="it-IT"/>
        </w:rPr>
        <w:t xml:space="preserve"> for banks willing to do so</w:t>
      </w:r>
      <w:r w:rsidR="00840AF2">
        <w:rPr>
          <w:rFonts w:eastAsia="Times New Roman" w:cs="Calibri"/>
          <w:bCs/>
          <w:szCs w:val="20"/>
          <w:lang w:eastAsia="it-IT"/>
        </w:rPr>
        <w:t xml:space="preserve">. </w:t>
      </w:r>
      <w:r w:rsidR="00067A29" w:rsidRPr="003A09F1">
        <w:rPr>
          <w:rFonts w:eastAsia="Times New Roman" w:cs="Calibri"/>
          <w:b/>
          <w:szCs w:val="20"/>
          <w:lang w:eastAsia="it-IT"/>
        </w:rPr>
        <w:t xml:space="preserve">These banks are mainly concerned about the </w:t>
      </w:r>
      <w:r w:rsidR="00F919BB" w:rsidRPr="003A09F1">
        <w:rPr>
          <w:rFonts w:eastAsia="Times New Roman" w:cs="Calibri"/>
          <w:b/>
          <w:szCs w:val="20"/>
          <w:lang w:eastAsia="it-IT"/>
        </w:rPr>
        <w:t xml:space="preserve">higher </w:t>
      </w:r>
      <w:r w:rsidR="00DE5034" w:rsidRPr="003A09F1">
        <w:rPr>
          <w:rFonts w:eastAsia="Times New Roman" w:cs="Calibri"/>
          <w:b/>
          <w:szCs w:val="20"/>
          <w:lang w:eastAsia="it-IT"/>
        </w:rPr>
        <w:t xml:space="preserve">operational </w:t>
      </w:r>
      <w:r w:rsidR="00F919BB" w:rsidRPr="003A09F1">
        <w:rPr>
          <w:rFonts w:eastAsia="Times New Roman" w:cs="Calibri"/>
          <w:b/>
          <w:szCs w:val="20"/>
          <w:lang w:eastAsia="it-IT"/>
        </w:rPr>
        <w:t>cost of maint</w:t>
      </w:r>
      <w:r w:rsidR="00DE5034" w:rsidRPr="003A09F1">
        <w:rPr>
          <w:rFonts w:eastAsia="Times New Roman" w:cs="Calibri"/>
          <w:b/>
          <w:szCs w:val="20"/>
          <w:lang w:eastAsia="it-IT"/>
        </w:rPr>
        <w:t>aining</w:t>
      </w:r>
      <w:r w:rsidR="00F919BB" w:rsidRPr="003A09F1">
        <w:rPr>
          <w:rFonts w:eastAsia="Times New Roman" w:cs="Calibri"/>
          <w:b/>
          <w:szCs w:val="20"/>
          <w:lang w:eastAsia="it-IT"/>
        </w:rPr>
        <w:t xml:space="preserve"> the current internal model approach</w:t>
      </w:r>
      <w:r w:rsidR="00045099">
        <w:rPr>
          <w:rFonts w:eastAsia="Times New Roman" w:cs="Calibri"/>
          <w:bCs/>
          <w:szCs w:val="20"/>
          <w:lang w:eastAsia="it-IT"/>
        </w:rPr>
        <w:t xml:space="preserve">. </w:t>
      </w:r>
    </w:p>
    <w:p w14:paraId="745AEA9E" w14:textId="3E9F1FA2" w:rsidR="00B95646" w:rsidRDefault="00B95646" w:rsidP="00982EF5">
      <w:pPr>
        <w:spacing w:before="120" w:after="0"/>
        <w:rPr>
          <w:rFonts w:eastAsia="Times New Roman" w:cs="Calibri"/>
          <w:bCs/>
          <w:szCs w:val="20"/>
          <w:lang w:eastAsia="it-IT"/>
        </w:rPr>
      </w:pPr>
      <w:r>
        <w:rPr>
          <w:rFonts w:eastAsia="Times New Roman" w:cs="Calibri"/>
          <w:bCs/>
          <w:szCs w:val="20"/>
          <w:lang w:eastAsia="it-IT"/>
        </w:rPr>
        <w:t xml:space="preserve">Whichever option is chosen, the EBF would ask policymakers and supervisors to agree that </w:t>
      </w:r>
      <w:r w:rsidRPr="003A09F1">
        <w:rPr>
          <w:rFonts w:eastAsia="Times New Roman" w:cs="Calibri"/>
          <w:b/>
          <w:szCs w:val="20"/>
          <w:lang w:eastAsia="it-IT"/>
        </w:rPr>
        <w:t xml:space="preserve">the no-action letter of the EBA on the boundary between trading book and banking book </w:t>
      </w:r>
      <w:r w:rsidR="008C7662">
        <w:rPr>
          <w:rFonts w:eastAsia="Times New Roman" w:cs="Calibri"/>
          <w:b/>
          <w:szCs w:val="20"/>
          <w:lang w:eastAsia="it-IT"/>
        </w:rPr>
        <w:t>be</w:t>
      </w:r>
      <w:r w:rsidRPr="003A09F1">
        <w:rPr>
          <w:rFonts w:eastAsia="Times New Roman" w:cs="Calibri"/>
          <w:b/>
          <w:szCs w:val="20"/>
          <w:lang w:eastAsia="it-IT"/>
        </w:rPr>
        <w:t xml:space="preserve"> extended</w:t>
      </w:r>
      <w:r>
        <w:rPr>
          <w:rFonts w:eastAsia="Times New Roman" w:cs="Calibri"/>
          <w:bCs/>
          <w:szCs w:val="20"/>
          <w:lang w:eastAsia="it-IT"/>
        </w:rPr>
        <w:t xml:space="preserve"> until the full switch to FRTB</w:t>
      </w:r>
      <w:r w:rsidR="00431398">
        <w:rPr>
          <w:rFonts w:eastAsia="Times New Roman" w:cs="Calibri"/>
          <w:bCs/>
          <w:szCs w:val="20"/>
          <w:lang w:eastAsia="it-IT"/>
        </w:rPr>
        <w:t xml:space="preserve"> </w:t>
      </w:r>
      <w:proofErr w:type="gramStart"/>
      <w:r w:rsidR="00431398">
        <w:rPr>
          <w:rFonts w:eastAsia="Times New Roman" w:cs="Calibri"/>
          <w:bCs/>
          <w:szCs w:val="20"/>
          <w:lang w:eastAsia="it-IT"/>
        </w:rPr>
        <w:t>in order to</w:t>
      </w:r>
      <w:proofErr w:type="gramEnd"/>
      <w:r w:rsidR="00431398">
        <w:rPr>
          <w:rFonts w:eastAsia="Times New Roman" w:cs="Calibri"/>
          <w:bCs/>
          <w:szCs w:val="20"/>
          <w:lang w:eastAsia="it-IT"/>
        </w:rPr>
        <w:t xml:space="preserve"> avoid further fragmentation</w:t>
      </w:r>
      <w:r>
        <w:rPr>
          <w:rFonts w:eastAsia="Times New Roman" w:cs="Calibri"/>
          <w:bCs/>
          <w:szCs w:val="20"/>
          <w:lang w:eastAsia="it-IT"/>
        </w:rPr>
        <w:t>.</w:t>
      </w:r>
    </w:p>
    <w:p w14:paraId="5224A510" w14:textId="7F5ED694" w:rsidR="00B73C3D" w:rsidRDefault="00D71D85" w:rsidP="00982EF5">
      <w:pPr>
        <w:spacing w:before="120" w:after="0"/>
        <w:rPr>
          <w:rFonts w:eastAsia="Times New Roman" w:cs="Calibri"/>
          <w:bCs/>
          <w:szCs w:val="20"/>
          <w:lang w:eastAsia="it-IT"/>
        </w:rPr>
      </w:pPr>
      <w:r>
        <w:rPr>
          <w:rFonts w:eastAsia="Times New Roman" w:cs="Calibri"/>
          <w:bCs/>
          <w:szCs w:val="20"/>
          <w:lang w:eastAsia="it-IT"/>
        </w:rPr>
        <w:t xml:space="preserve">EBF members will provide with detailed </w:t>
      </w:r>
      <w:r w:rsidR="0064358B">
        <w:rPr>
          <w:rFonts w:eastAsia="Times New Roman" w:cs="Calibri"/>
          <w:bCs/>
          <w:szCs w:val="20"/>
          <w:lang w:eastAsia="it-IT"/>
        </w:rPr>
        <w:t xml:space="preserve">information about the annex of </w:t>
      </w:r>
      <w:r w:rsidR="00622202">
        <w:rPr>
          <w:rFonts w:eastAsia="Times New Roman" w:cs="Calibri"/>
          <w:bCs/>
          <w:szCs w:val="20"/>
          <w:lang w:eastAsia="it-IT"/>
        </w:rPr>
        <w:t>t</w:t>
      </w:r>
      <w:r w:rsidR="0064358B">
        <w:rPr>
          <w:rFonts w:eastAsia="Times New Roman" w:cs="Calibri"/>
          <w:bCs/>
          <w:szCs w:val="20"/>
          <w:lang w:eastAsia="it-IT"/>
        </w:rPr>
        <w:t xml:space="preserve">he consultation depending on their individual preferences. </w:t>
      </w:r>
    </w:p>
    <w:p w14:paraId="5D01ACEC" w14:textId="77777777" w:rsidR="00B73C3D" w:rsidRDefault="00B73C3D" w:rsidP="00982EF5">
      <w:pPr>
        <w:spacing w:before="120" w:after="0"/>
        <w:rPr>
          <w:rFonts w:eastAsia="Times New Roman" w:cs="Calibri"/>
          <w:bCs/>
          <w:szCs w:val="20"/>
          <w:lang w:eastAsia="it-IT"/>
        </w:rPr>
      </w:pPr>
    </w:p>
    <w:sectPr w:rsidR="00B73C3D" w:rsidSect="003F2394">
      <w:headerReference w:type="default" r:id="rId11"/>
      <w:footerReference w:type="defaul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04F76" w14:textId="77777777" w:rsidR="00C2273A" w:rsidRDefault="00C2273A" w:rsidP="00ED12A5">
      <w:pPr>
        <w:spacing w:after="0"/>
      </w:pPr>
      <w:r>
        <w:separator/>
      </w:r>
    </w:p>
  </w:endnote>
  <w:endnote w:type="continuationSeparator" w:id="0">
    <w:p w14:paraId="01552D91" w14:textId="77777777" w:rsidR="00C2273A" w:rsidRDefault="00C2273A" w:rsidP="00ED12A5">
      <w:pPr>
        <w:spacing w:after="0"/>
      </w:pPr>
      <w:r>
        <w:continuationSeparator/>
      </w:r>
    </w:p>
  </w:endnote>
  <w:endnote w:type="continuationNotice" w:id="1">
    <w:p w14:paraId="11027760" w14:textId="77777777" w:rsidR="00C2273A" w:rsidRDefault="00C227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Semilight">
    <w:panose1 w:val="020B0402040204020203"/>
    <w:charset w:val="00"/>
    <w:family w:val="swiss"/>
    <w:pitch w:val="variable"/>
    <w:sig w:usb0="E4002EFF" w:usb1="C000E47F" w:usb2="00000009" w:usb3="00000000" w:csb0="000001FF" w:csb1="00000000"/>
  </w:font>
  <w:font w:name="Verdana-Bold">
    <w:altName w:val="Verdan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7" w:type="pct"/>
      <w:tblInd w:w="-1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ook w:val="00A0" w:firstRow="1" w:lastRow="0" w:firstColumn="1" w:lastColumn="0" w:noHBand="0" w:noVBand="0"/>
    </w:tblPr>
    <w:tblGrid>
      <w:gridCol w:w="7371"/>
      <w:gridCol w:w="1559"/>
    </w:tblGrid>
    <w:tr w:rsidR="003F2394" w:rsidRPr="00A45CEA" w14:paraId="792F9F3A" w14:textId="77777777" w:rsidTr="003F2394">
      <w:trPr>
        <w:trHeight w:val="425"/>
      </w:trPr>
      <w:tc>
        <w:tcPr>
          <w:tcW w:w="4127" w:type="pct"/>
          <w:tcBorders>
            <w:top w:val="nil"/>
            <w:left w:val="nil"/>
            <w:bottom w:val="nil"/>
            <w:right w:val="nil"/>
            <w:tl2br w:val="nil"/>
            <w:tr2bl w:val="nil"/>
          </w:tcBorders>
          <w:shd w:val="clear" w:color="auto" w:fill="auto"/>
        </w:tcPr>
        <w:p w14:paraId="2841DCE4" w14:textId="77777777" w:rsidR="003F2394" w:rsidRPr="00A45CEA" w:rsidRDefault="003F2394" w:rsidP="003F2394">
          <w:pPr>
            <w:pStyle w:val="Footer"/>
            <w:shd w:val="clear" w:color="auto" w:fill="FFFFFF" w:themeFill="background1"/>
            <w:rPr>
              <w:sz w:val="17"/>
              <w:szCs w:val="17"/>
            </w:rPr>
          </w:pPr>
          <w:r w:rsidRPr="00A45CEA">
            <w:rPr>
              <w:rStyle w:val="PageNumber"/>
              <w:sz w:val="17"/>
              <w:szCs w:val="17"/>
            </w:rPr>
            <w:fldChar w:fldCharType="begin"/>
          </w:r>
          <w:r w:rsidRPr="00A45CEA">
            <w:rPr>
              <w:rStyle w:val="PageNumber"/>
              <w:sz w:val="17"/>
              <w:szCs w:val="17"/>
            </w:rPr>
            <w:instrText xml:space="preserve">PAGE  </w:instrText>
          </w:r>
          <w:r w:rsidRPr="00A45CEA">
            <w:rPr>
              <w:rStyle w:val="PageNumber"/>
              <w:sz w:val="17"/>
              <w:szCs w:val="17"/>
            </w:rPr>
            <w:fldChar w:fldCharType="separate"/>
          </w:r>
          <w:r w:rsidR="003A79A5">
            <w:rPr>
              <w:rStyle w:val="PageNumber"/>
              <w:noProof/>
              <w:sz w:val="17"/>
              <w:szCs w:val="17"/>
            </w:rPr>
            <w:t>2</w:t>
          </w:r>
          <w:r w:rsidRPr="00A45CEA">
            <w:rPr>
              <w:rStyle w:val="PageNumber"/>
              <w:sz w:val="17"/>
              <w:szCs w:val="17"/>
            </w:rPr>
            <w:fldChar w:fldCharType="end"/>
          </w:r>
        </w:p>
      </w:tc>
      <w:tc>
        <w:tcPr>
          <w:tcW w:w="873" w:type="pct"/>
          <w:tcBorders>
            <w:top w:val="nil"/>
            <w:left w:val="nil"/>
            <w:bottom w:val="nil"/>
            <w:right w:val="nil"/>
          </w:tcBorders>
          <w:shd w:val="clear" w:color="auto" w:fill="auto"/>
        </w:tcPr>
        <w:p w14:paraId="01C3EFEC" w14:textId="77777777" w:rsidR="003F2394" w:rsidRPr="00A45CEA" w:rsidRDefault="003F2394" w:rsidP="003F2394">
          <w:pPr>
            <w:pStyle w:val="Footnote"/>
            <w:jc w:val="right"/>
            <w:rPr>
              <w:rFonts w:ascii="Verdana-Bold" w:hAnsi="Verdana-Bold" w:cs="Verdana-Bold"/>
              <w:b/>
              <w:bCs/>
              <w:color w:val="0A77A8"/>
              <w:sz w:val="17"/>
              <w:szCs w:val="17"/>
            </w:rPr>
          </w:pPr>
          <w:r w:rsidRPr="00A45CEA">
            <w:rPr>
              <w:rFonts w:ascii="Verdana-Bold" w:hAnsi="Verdana-Bold" w:cs="Verdana-Bold"/>
              <w:b/>
              <w:bCs/>
              <w:noProof/>
              <w:color w:val="0A77A8"/>
              <w:sz w:val="17"/>
              <w:szCs w:val="17"/>
              <w:lang w:eastAsia="en-GB"/>
            </w:rPr>
            <w:drawing>
              <wp:inline distT="0" distB="0" distL="0" distR="0" wp14:anchorId="7FBF4268" wp14:editId="67639E11">
                <wp:extent cx="443711" cy="176530"/>
                <wp:effectExtent l="0" t="0" r="0" b="0"/>
                <wp:docPr id="197781276" name="Image 4" descr="so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png"/>
                        <pic:cNvPicPr/>
                      </pic:nvPicPr>
                      <pic:blipFill>
                        <a:blip r:embed="rId1"/>
                        <a:stretch>
                          <a:fillRect/>
                        </a:stretch>
                      </pic:blipFill>
                      <pic:spPr>
                        <a:xfrm>
                          <a:off x="0" y="0"/>
                          <a:ext cx="443711" cy="176530"/>
                        </a:xfrm>
                        <a:prstGeom prst="rect">
                          <a:avLst/>
                        </a:prstGeom>
                      </pic:spPr>
                    </pic:pic>
                  </a:graphicData>
                </a:graphic>
              </wp:inline>
            </w:drawing>
          </w:r>
        </w:p>
        <w:p w14:paraId="54D7E316" w14:textId="77777777" w:rsidR="003F2394" w:rsidRPr="00A45CEA" w:rsidRDefault="003F2394" w:rsidP="003F2394">
          <w:pPr>
            <w:pStyle w:val="Footnote"/>
            <w:tabs>
              <w:tab w:val="left" w:pos="260"/>
            </w:tabs>
            <w:jc w:val="right"/>
            <w:rPr>
              <w:rFonts w:ascii="Verdana-Bold" w:hAnsi="Verdana-Bold" w:cs="Verdana-Bold"/>
              <w:b/>
              <w:bCs/>
              <w:color w:val="0A77A8"/>
              <w:sz w:val="17"/>
              <w:szCs w:val="17"/>
            </w:rPr>
          </w:pPr>
          <w:r w:rsidRPr="00A45CEA">
            <w:rPr>
              <w:rFonts w:ascii="Verdana-Bold" w:hAnsi="Verdana-Bold" w:cs="Verdana-Bold"/>
              <w:b/>
              <w:bCs/>
              <w:color w:val="0A77A8"/>
              <w:sz w:val="17"/>
              <w:szCs w:val="17"/>
            </w:rPr>
            <w:t>www.ebf.eu</w:t>
          </w:r>
        </w:p>
      </w:tc>
    </w:tr>
  </w:tbl>
  <w:p w14:paraId="32FC7BEB" w14:textId="77777777" w:rsidR="003F2394" w:rsidRPr="005B32E9" w:rsidRDefault="003F2394" w:rsidP="005B32E9">
    <w:pPr>
      <w:spacing w:after="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7" w:type="pct"/>
      <w:tblInd w:w="-1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ook w:val="00A0" w:firstRow="1" w:lastRow="0" w:firstColumn="1" w:lastColumn="0" w:noHBand="0" w:noVBand="0"/>
    </w:tblPr>
    <w:tblGrid>
      <w:gridCol w:w="7371"/>
      <w:gridCol w:w="1559"/>
    </w:tblGrid>
    <w:tr w:rsidR="003F2394" w:rsidRPr="00A45CEA" w14:paraId="148DA5A1" w14:textId="77777777" w:rsidTr="009D05C9">
      <w:trPr>
        <w:trHeight w:val="1272"/>
      </w:trPr>
      <w:tc>
        <w:tcPr>
          <w:tcW w:w="4127" w:type="pct"/>
          <w:tcBorders>
            <w:top w:val="nil"/>
            <w:left w:val="nil"/>
            <w:bottom w:val="nil"/>
            <w:right w:val="nil"/>
            <w:tl2br w:val="nil"/>
            <w:tr2bl w:val="nil"/>
          </w:tcBorders>
          <w:shd w:val="clear" w:color="auto" w:fill="auto"/>
        </w:tcPr>
        <w:p w14:paraId="236A81CA" w14:textId="0A1F7FE1" w:rsidR="003F2394" w:rsidRPr="00656A2C" w:rsidRDefault="003F2394" w:rsidP="00A0558E">
          <w:pPr>
            <w:pStyle w:val="Footnote"/>
            <w:tabs>
              <w:tab w:val="left" w:pos="260"/>
            </w:tabs>
            <w:jc w:val="left"/>
            <w:rPr>
              <w:sz w:val="16"/>
              <w:szCs w:val="17"/>
            </w:rPr>
          </w:pPr>
          <w:r w:rsidRPr="0085549F">
            <w:rPr>
              <w:rFonts w:ascii="Verdana-Bold" w:hAnsi="Verdana-Bold" w:cs="Verdana-Bold"/>
              <w:b/>
              <w:bCs/>
              <w:color w:val="0A77A8"/>
              <w:sz w:val="15"/>
              <w:szCs w:val="17"/>
            </w:rPr>
            <w:t xml:space="preserve">European Banking Federation </w:t>
          </w:r>
          <w:proofErr w:type="spellStart"/>
          <w:r w:rsidRPr="0085549F">
            <w:rPr>
              <w:rFonts w:ascii="Verdana-Bold" w:hAnsi="Verdana-Bold" w:cs="Verdana-Bold"/>
              <w:b/>
              <w:bCs/>
              <w:color w:val="0A77A8"/>
              <w:sz w:val="15"/>
              <w:szCs w:val="17"/>
            </w:rPr>
            <w:t>aisbl</w:t>
          </w:r>
          <w:proofErr w:type="spellEnd"/>
          <w:r w:rsidR="00A0558E">
            <w:rPr>
              <w:rFonts w:ascii="Verdana-Bold" w:hAnsi="Verdana-Bold" w:cs="Verdana-Bold"/>
              <w:b/>
              <w:bCs/>
              <w:color w:val="0A77A8"/>
              <w:sz w:val="15"/>
              <w:szCs w:val="17"/>
            </w:rPr>
            <w:br/>
          </w:r>
          <w:r w:rsidRPr="00656A2C">
            <w:rPr>
              <w:rFonts w:ascii="Verdana-Bold" w:hAnsi="Verdana-Bold" w:cs="Verdana-Bold"/>
              <w:b/>
              <w:bCs/>
              <w:color w:val="0A77A8"/>
              <w:sz w:val="15"/>
              <w:szCs w:val="17"/>
            </w:rPr>
            <w:t xml:space="preserve">Brussels / </w:t>
          </w:r>
          <w:r w:rsidRPr="00656A2C">
            <w:rPr>
              <w:sz w:val="16"/>
              <w:szCs w:val="17"/>
            </w:rPr>
            <w:t>Avenue des Arts 56, 1000 Brussels, Belgium / +32 2 508 3711 / info@ebf.eu</w:t>
          </w:r>
        </w:p>
        <w:p w14:paraId="4801D57C" w14:textId="77777777" w:rsidR="003F2394" w:rsidRPr="004C28EC" w:rsidRDefault="003F2394" w:rsidP="00A0558E">
          <w:pPr>
            <w:pStyle w:val="Footnote"/>
            <w:tabs>
              <w:tab w:val="left" w:pos="260"/>
            </w:tabs>
            <w:jc w:val="left"/>
            <w:rPr>
              <w:sz w:val="16"/>
              <w:szCs w:val="17"/>
              <w:lang w:val="de-DE"/>
            </w:rPr>
          </w:pPr>
          <w:r w:rsidRPr="004C28EC">
            <w:rPr>
              <w:rFonts w:ascii="Verdana-Bold" w:hAnsi="Verdana-Bold" w:cs="Verdana-Bold"/>
              <w:b/>
              <w:bCs/>
              <w:color w:val="0A77A8"/>
              <w:sz w:val="15"/>
              <w:szCs w:val="17"/>
              <w:lang w:val="de-DE"/>
            </w:rPr>
            <w:t xml:space="preserve">Frankfurt / </w:t>
          </w:r>
          <w:r w:rsidRPr="004C28EC">
            <w:rPr>
              <w:sz w:val="16"/>
              <w:szCs w:val="17"/>
              <w:lang w:val="de-DE"/>
            </w:rPr>
            <w:t>Weißfrauenstraße 12-16, 60311 Frankfurt, Germany</w:t>
          </w:r>
        </w:p>
        <w:p w14:paraId="3120B7E2" w14:textId="57A12BEF" w:rsidR="003F2394" w:rsidRPr="004C28EC" w:rsidRDefault="003F2394" w:rsidP="00204150">
          <w:pPr>
            <w:pStyle w:val="Footnote"/>
            <w:tabs>
              <w:tab w:val="left" w:pos="260"/>
            </w:tabs>
            <w:jc w:val="left"/>
            <w:rPr>
              <w:sz w:val="17"/>
              <w:szCs w:val="17"/>
              <w:lang w:val="de-DE"/>
            </w:rPr>
          </w:pPr>
          <w:r w:rsidRPr="004C28EC">
            <w:rPr>
              <w:rFonts w:ascii="Verdana-Bold" w:hAnsi="Verdana-Bold" w:cs="Verdana-Bold"/>
              <w:b/>
              <w:bCs/>
              <w:color w:val="0A77A8"/>
              <w:sz w:val="15"/>
              <w:szCs w:val="17"/>
              <w:lang w:val="de-DE"/>
            </w:rPr>
            <w:t>EU Transparency Register /</w:t>
          </w:r>
          <w:r w:rsidRPr="004C28EC">
            <w:rPr>
              <w:sz w:val="16"/>
              <w:szCs w:val="17"/>
              <w:lang w:val="de-DE"/>
            </w:rPr>
            <w:t xml:space="preserve"> ID number: 4722660838-23</w:t>
          </w:r>
        </w:p>
      </w:tc>
      <w:tc>
        <w:tcPr>
          <w:tcW w:w="873" w:type="pct"/>
          <w:tcBorders>
            <w:top w:val="nil"/>
            <w:left w:val="nil"/>
            <w:bottom w:val="nil"/>
            <w:right w:val="nil"/>
          </w:tcBorders>
          <w:shd w:val="clear" w:color="auto" w:fill="auto"/>
        </w:tcPr>
        <w:p w14:paraId="4F3B3689" w14:textId="77777777" w:rsidR="003F2394" w:rsidRPr="004C28EC" w:rsidRDefault="003F2394" w:rsidP="003F2394">
          <w:pPr>
            <w:pStyle w:val="Footnote"/>
            <w:tabs>
              <w:tab w:val="left" w:pos="260"/>
            </w:tabs>
            <w:jc w:val="right"/>
            <w:rPr>
              <w:rFonts w:ascii="Verdana-Bold" w:hAnsi="Verdana-Bold" w:cs="Verdana-Bold"/>
              <w:b/>
              <w:bCs/>
              <w:color w:val="0A77A8"/>
              <w:sz w:val="17"/>
              <w:szCs w:val="17"/>
              <w:lang w:val="de-DE"/>
            </w:rPr>
          </w:pPr>
        </w:p>
        <w:p w14:paraId="23EE53DA" w14:textId="77777777" w:rsidR="003F2394" w:rsidRPr="004C28EC" w:rsidRDefault="003F2394" w:rsidP="003F2394">
          <w:pPr>
            <w:pStyle w:val="Footnote"/>
            <w:jc w:val="right"/>
            <w:rPr>
              <w:rFonts w:ascii="Verdana-Bold" w:hAnsi="Verdana-Bold" w:cs="Verdana-Bold"/>
              <w:b/>
              <w:bCs/>
              <w:color w:val="0A77A8"/>
              <w:sz w:val="17"/>
              <w:szCs w:val="17"/>
              <w:lang w:val="de-DE"/>
            </w:rPr>
          </w:pPr>
        </w:p>
        <w:p w14:paraId="09138C0B" w14:textId="77777777" w:rsidR="003F2394" w:rsidRPr="00A45CEA" w:rsidRDefault="003F2394" w:rsidP="003F2394">
          <w:pPr>
            <w:pStyle w:val="Footnote"/>
            <w:jc w:val="right"/>
            <w:rPr>
              <w:rFonts w:ascii="Verdana-Bold" w:hAnsi="Verdana-Bold" w:cs="Verdana-Bold"/>
              <w:b/>
              <w:bCs/>
              <w:color w:val="0A77A8"/>
              <w:sz w:val="17"/>
              <w:szCs w:val="17"/>
            </w:rPr>
          </w:pPr>
          <w:r w:rsidRPr="00A45CEA">
            <w:rPr>
              <w:rFonts w:ascii="Verdana-Bold" w:hAnsi="Verdana-Bold" w:cs="Verdana-Bold"/>
              <w:b/>
              <w:bCs/>
              <w:noProof/>
              <w:color w:val="0A77A8"/>
              <w:sz w:val="17"/>
              <w:szCs w:val="17"/>
              <w:lang w:eastAsia="en-GB"/>
            </w:rPr>
            <w:drawing>
              <wp:inline distT="0" distB="0" distL="0" distR="0" wp14:anchorId="7AA13BAE" wp14:editId="167B78C0">
                <wp:extent cx="443711" cy="176530"/>
                <wp:effectExtent l="0" t="0" r="0" b="0"/>
                <wp:docPr id="679040587" name="Image 4" descr="so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png"/>
                        <pic:cNvPicPr/>
                      </pic:nvPicPr>
                      <pic:blipFill>
                        <a:blip r:embed="rId1"/>
                        <a:stretch>
                          <a:fillRect/>
                        </a:stretch>
                      </pic:blipFill>
                      <pic:spPr>
                        <a:xfrm>
                          <a:off x="0" y="0"/>
                          <a:ext cx="443711" cy="176530"/>
                        </a:xfrm>
                        <a:prstGeom prst="rect">
                          <a:avLst/>
                        </a:prstGeom>
                      </pic:spPr>
                    </pic:pic>
                  </a:graphicData>
                </a:graphic>
              </wp:inline>
            </w:drawing>
          </w:r>
        </w:p>
        <w:p w14:paraId="4DF03E2A" w14:textId="77777777" w:rsidR="003F2394" w:rsidRPr="00A45CEA" w:rsidRDefault="003F2394" w:rsidP="003F2394">
          <w:pPr>
            <w:pStyle w:val="Footnote"/>
            <w:tabs>
              <w:tab w:val="left" w:pos="260"/>
            </w:tabs>
            <w:jc w:val="right"/>
            <w:rPr>
              <w:rFonts w:ascii="Verdana-Bold" w:hAnsi="Verdana-Bold" w:cs="Verdana-Bold"/>
              <w:b/>
              <w:bCs/>
              <w:color w:val="0A77A8"/>
              <w:sz w:val="17"/>
              <w:szCs w:val="17"/>
            </w:rPr>
          </w:pPr>
          <w:r w:rsidRPr="00A45CEA">
            <w:rPr>
              <w:rFonts w:ascii="Verdana-Bold" w:hAnsi="Verdana-Bold" w:cs="Verdana-Bold"/>
              <w:b/>
              <w:bCs/>
              <w:color w:val="0A77A8"/>
              <w:sz w:val="17"/>
              <w:szCs w:val="17"/>
            </w:rPr>
            <w:t>www.ebf.eu</w:t>
          </w:r>
        </w:p>
      </w:tc>
    </w:tr>
  </w:tbl>
  <w:p w14:paraId="1917D933" w14:textId="77777777" w:rsidR="003F2394" w:rsidRPr="005C0B58" w:rsidRDefault="003F2394">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749B4" w14:textId="77777777" w:rsidR="00C2273A" w:rsidRDefault="00C2273A" w:rsidP="00ED12A5">
      <w:pPr>
        <w:spacing w:after="0"/>
      </w:pPr>
      <w:r>
        <w:separator/>
      </w:r>
    </w:p>
  </w:footnote>
  <w:footnote w:type="continuationSeparator" w:id="0">
    <w:p w14:paraId="1C25B8D9" w14:textId="77777777" w:rsidR="00C2273A" w:rsidRDefault="00C2273A" w:rsidP="00ED12A5">
      <w:pPr>
        <w:spacing w:after="0"/>
      </w:pPr>
      <w:r>
        <w:continuationSeparator/>
      </w:r>
    </w:p>
  </w:footnote>
  <w:footnote w:type="continuationNotice" w:id="1">
    <w:p w14:paraId="6CF21C5C" w14:textId="77777777" w:rsidR="00C2273A" w:rsidRDefault="00C2273A">
      <w:pPr>
        <w:spacing w:after="0"/>
      </w:pPr>
    </w:p>
  </w:footnote>
  <w:footnote w:id="2">
    <w:p w14:paraId="08AEFE66" w14:textId="7BA136B5" w:rsidR="00EF0261" w:rsidRDefault="00EF0261" w:rsidP="00EF0261">
      <w:pPr>
        <w:pStyle w:val="FootnoteText"/>
        <w:rPr>
          <w:color w:val="2D659A" w:themeColor="accent4" w:themeShade="BF"/>
          <w:sz w:val="16"/>
          <w:szCs w:val="16"/>
        </w:rPr>
      </w:pPr>
      <w:r w:rsidRPr="009B5411">
        <w:rPr>
          <w:rStyle w:val="FootnoteReference"/>
          <w:color w:val="2D659A" w:themeColor="accent4" w:themeShade="BF"/>
          <w:sz w:val="16"/>
          <w:szCs w:val="16"/>
        </w:rPr>
        <w:footnoteRef/>
      </w:r>
      <w:r w:rsidRPr="009B5411">
        <w:rPr>
          <w:color w:val="2D659A" w:themeColor="accent4" w:themeShade="BF"/>
          <w:sz w:val="16"/>
          <w:szCs w:val="16"/>
        </w:rPr>
        <w:t xml:space="preserve"> REGULATION (EU) 2024/886 OF THE EUROPEAN PARLIAMENT AND OF THE COUNCIL</w:t>
      </w:r>
      <w:r w:rsidR="009B5411">
        <w:rPr>
          <w:color w:val="2D659A" w:themeColor="accent4" w:themeShade="BF"/>
          <w:sz w:val="16"/>
          <w:szCs w:val="16"/>
        </w:rPr>
        <w:t xml:space="preserve"> </w:t>
      </w:r>
      <w:r w:rsidRPr="009B5411">
        <w:rPr>
          <w:color w:val="2D659A" w:themeColor="accent4" w:themeShade="BF"/>
          <w:sz w:val="16"/>
          <w:szCs w:val="16"/>
        </w:rPr>
        <w:t>of 13 March 2024</w:t>
      </w:r>
    </w:p>
    <w:p w14:paraId="4F4E807A" w14:textId="77777777" w:rsidR="009B5411" w:rsidRPr="009B5411" w:rsidRDefault="009B5411" w:rsidP="00EF0261">
      <w:pPr>
        <w:pStyle w:val="FootnoteText"/>
        <w:rPr>
          <w:color w:val="2D659A" w:themeColor="accent4" w:themeShade="BF"/>
          <w:sz w:val="16"/>
          <w:szCs w:val="16"/>
        </w:rPr>
      </w:pPr>
    </w:p>
  </w:footnote>
  <w:footnote w:id="3">
    <w:p w14:paraId="5B5A3A07" w14:textId="53F9DA8C" w:rsidR="007A1450" w:rsidRDefault="007A1450" w:rsidP="007A1450">
      <w:pPr>
        <w:pStyle w:val="FootnoteText"/>
        <w:rPr>
          <w:color w:val="2D659A" w:themeColor="accent4" w:themeShade="BF"/>
          <w:sz w:val="16"/>
          <w:szCs w:val="16"/>
        </w:rPr>
      </w:pPr>
      <w:r w:rsidRPr="006819C1">
        <w:rPr>
          <w:rStyle w:val="FootnoteReference"/>
          <w:color w:val="2D659A" w:themeColor="accent4" w:themeShade="BF"/>
          <w:sz w:val="16"/>
          <w:szCs w:val="16"/>
        </w:rPr>
        <w:footnoteRef/>
      </w:r>
      <w:r w:rsidRPr="006819C1">
        <w:rPr>
          <w:color w:val="2D659A" w:themeColor="accent4" w:themeShade="BF"/>
          <w:sz w:val="16"/>
          <w:szCs w:val="16"/>
        </w:rPr>
        <w:t xml:space="preserve"> </w:t>
      </w:r>
      <w:r>
        <w:rPr>
          <w:color w:val="2D659A" w:themeColor="accent4" w:themeShade="BF"/>
          <w:sz w:val="16"/>
          <w:szCs w:val="16"/>
        </w:rPr>
        <w:t>“</w:t>
      </w:r>
      <w:r w:rsidRPr="00320F4C">
        <w:rPr>
          <w:color w:val="2D659A" w:themeColor="accent4" w:themeShade="BF"/>
          <w:sz w:val="16"/>
          <w:szCs w:val="16"/>
        </w:rPr>
        <w:t>Enhancing the financing capacity of a resilient European banking</w:t>
      </w:r>
      <w:r>
        <w:rPr>
          <w:color w:val="2D659A" w:themeColor="accent4" w:themeShade="BF"/>
          <w:sz w:val="16"/>
          <w:szCs w:val="16"/>
        </w:rPr>
        <w:t xml:space="preserve"> </w:t>
      </w:r>
      <w:r w:rsidRPr="00320F4C">
        <w:rPr>
          <w:color w:val="2D659A" w:themeColor="accent4" w:themeShade="BF"/>
          <w:sz w:val="16"/>
          <w:szCs w:val="16"/>
        </w:rPr>
        <w:t>sector by an increasing dialogue</w:t>
      </w:r>
      <w:r>
        <w:rPr>
          <w:color w:val="2D659A" w:themeColor="accent4" w:themeShade="BF"/>
          <w:sz w:val="16"/>
          <w:szCs w:val="16"/>
        </w:rPr>
        <w:t>” (</w:t>
      </w:r>
      <w:r w:rsidR="00F87494">
        <w:rPr>
          <w:color w:val="2D659A" w:themeColor="accent4" w:themeShade="BF"/>
          <w:sz w:val="16"/>
          <w:szCs w:val="16"/>
        </w:rPr>
        <w:t xml:space="preserve">EBF President letter to the European Commission and other EU authorities </w:t>
      </w:r>
      <w:r w:rsidR="00244796">
        <w:rPr>
          <w:color w:val="2D659A" w:themeColor="accent4" w:themeShade="BF"/>
          <w:sz w:val="16"/>
          <w:szCs w:val="16"/>
        </w:rPr>
        <w:t xml:space="preserve">- </w:t>
      </w:r>
      <w:r>
        <w:rPr>
          <w:color w:val="2D659A" w:themeColor="accent4" w:themeShade="BF"/>
          <w:sz w:val="16"/>
          <w:szCs w:val="16"/>
        </w:rPr>
        <w:t xml:space="preserve">31 May 2024) </w:t>
      </w:r>
    </w:p>
    <w:p w14:paraId="086F228A" w14:textId="77777777" w:rsidR="00244796" w:rsidRPr="006D05A0" w:rsidRDefault="00244796" w:rsidP="007A1450">
      <w:pPr>
        <w:pStyle w:val="FootnoteText"/>
        <w:rPr>
          <w:sz w:val="16"/>
          <w:szCs w:val="16"/>
          <w:lang w:val="en-BE"/>
        </w:rPr>
      </w:pPr>
    </w:p>
  </w:footnote>
  <w:footnote w:id="4">
    <w:p w14:paraId="0CC90AB7" w14:textId="08B9FEC9" w:rsidR="000344AC" w:rsidRPr="003A09F1" w:rsidRDefault="000344AC" w:rsidP="003A09F1">
      <w:pPr>
        <w:pStyle w:val="FootnoteText"/>
        <w:spacing w:before="120"/>
        <w:rPr>
          <w:sz w:val="16"/>
          <w:szCs w:val="16"/>
          <w:lang w:val="en-BE"/>
        </w:rPr>
      </w:pPr>
      <w:r w:rsidRPr="003A09F1">
        <w:rPr>
          <w:rStyle w:val="FootnoteReference"/>
          <w:sz w:val="16"/>
          <w:szCs w:val="16"/>
        </w:rPr>
        <w:footnoteRef/>
      </w:r>
      <w:r w:rsidRPr="003A09F1">
        <w:rPr>
          <w:sz w:val="16"/>
          <w:szCs w:val="16"/>
        </w:rPr>
        <w:t xml:space="preserve"> </w:t>
      </w:r>
      <w:hyperlink r:id="rId1" w:history="1">
        <w:r w:rsidR="00101EC5" w:rsidRPr="00A337CA">
          <w:rPr>
            <w:rStyle w:val="Hyperlink"/>
            <w:sz w:val="16"/>
            <w:szCs w:val="16"/>
          </w:rPr>
          <w:t>US Treasury Secretary Scott Bessent (9 April 2025)</w:t>
        </w:r>
      </w:hyperlink>
      <w:r w:rsidR="00101EC5">
        <w:rPr>
          <w:sz w:val="16"/>
          <w:szCs w:val="16"/>
        </w:rPr>
        <w:t xml:space="preserve">: </w:t>
      </w:r>
      <w:r w:rsidR="00F578B8" w:rsidRPr="003A09F1">
        <w:rPr>
          <w:i/>
          <w:iCs/>
          <w:sz w:val="16"/>
          <w:szCs w:val="16"/>
        </w:rPr>
        <w:t>To the extent that the Endgame standards can provide inspiration, we could borrow selectively from them. But this should only be done to the extent that we can independently validate the underlying rationale and then make that rationale available for public comment</w:t>
      </w:r>
    </w:p>
  </w:footnote>
  <w:footnote w:id="5">
    <w:p w14:paraId="36F47D92" w14:textId="238D8C47" w:rsidR="003257ED" w:rsidRPr="003A09F1" w:rsidRDefault="003257ED" w:rsidP="003A09F1">
      <w:pPr>
        <w:pStyle w:val="FootnoteText"/>
        <w:spacing w:before="120"/>
        <w:rPr>
          <w:sz w:val="16"/>
          <w:szCs w:val="16"/>
          <w:lang w:val="en-BE"/>
        </w:rPr>
      </w:pPr>
      <w:r w:rsidRPr="003A09F1">
        <w:rPr>
          <w:rStyle w:val="FootnoteReference"/>
          <w:sz w:val="16"/>
          <w:szCs w:val="16"/>
        </w:rPr>
        <w:footnoteRef/>
      </w:r>
      <w:r w:rsidRPr="003A09F1">
        <w:rPr>
          <w:sz w:val="16"/>
          <w:szCs w:val="16"/>
        </w:rPr>
        <w:t xml:space="preserve"> </w:t>
      </w:r>
      <w:r w:rsidR="0048257F">
        <w:rPr>
          <w:sz w:val="16"/>
          <w:szCs w:val="16"/>
        </w:rPr>
        <w:t xml:space="preserve">Banks supporting this option represent more than 50% </w:t>
      </w:r>
      <w:r w:rsidR="007A38DE">
        <w:rPr>
          <w:sz w:val="16"/>
          <w:szCs w:val="16"/>
        </w:rPr>
        <w:t>of the market risk RWA of EU-headquartered banks</w:t>
      </w:r>
    </w:p>
  </w:footnote>
  <w:footnote w:id="6">
    <w:p w14:paraId="0C340FFE" w14:textId="6624EE3D" w:rsidR="0075072A" w:rsidRPr="00204C77" w:rsidRDefault="0075072A" w:rsidP="003A09F1">
      <w:pPr>
        <w:pStyle w:val="FootnoteText"/>
        <w:spacing w:before="120"/>
        <w:rPr>
          <w:sz w:val="16"/>
          <w:szCs w:val="16"/>
          <w:lang w:val="en-BE"/>
        </w:rPr>
      </w:pPr>
      <w:r w:rsidRPr="00204C77">
        <w:rPr>
          <w:rStyle w:val="FootnoteReference"/>
          <w:sz w:val="16"/>
          <w:szCs w:val="16"/>
        </w:rPr>
        <w:footnoteRef/>
      </w:r>
      <w:r w:rsidRPr="00204C77">
        <w:rPr>
          <w:sz w:val="16"/>
          <w:szCs w:val="16"/>
        </w:rPr>
        <w:t xml:space="preserve"> </w:t>
      </w:r>
      <w:r w:rsidR="000C2AF8">
        <w:rPr>
          <w:sz w:val="16"/>
          <w:szCs w:val="16"/>
        </w:rPr>
        <w:t>The Commission’s text put forward three options and suggested the possibility of combinations</w:t>
      </w:r>
      <w:r w:rsidR="00E021E2">
        <w:rPr>
          <w:sz w:val="16"/>
          <w:szCs w:val="16"/>
        </w:rPr>
        <w:t xml:space="preserve">. The denomination of </w:t>
      </w:r>
      <w:r w:rsidR="00E021E2" w:rsidRPr="00204C77">
        <w:rPr>
          <w:i/>
          <w:iCs/>
          <w:sz w:val="16"/>
          <w:szCs w:val="16"/>
        </w:rPr>
        <w:t>fourth option</w:t>
      </w:r>
      <w:r w:rsidR="00E021E2">
        <w:rPr>
          <w:sz w:val="16"/>
          <w:szCs w:val="16"/>
        </w:rPr>
        <w:t xml:space="preserve"> is used here as an alternative combination of the other options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C0BD" w14:textId="7DEBEBEB" w:rsidR="005B15AD" w:rsidRDefault="005B15AD">
    <w:pPr>
      <w:pStyle w:val="Header"/>
    </w:pPr>
    <w:r>
      <w:rPr>
        <w:noProof/>
        <w:lang w:eastAsia="en-GB"/>
      </w:rPr>
      <w:drawing>
        <wp:anchor distT="0" distB="0" distL="114300" distR="114300" simplePos="0" relativeHeight="251658241" behindDoc="0" locked="0" layoutInCell="1" allowOverlap="1" wp14:anchorId="4B96A32C" wp14:editId="6CFEA2FA">
          <wp:simplePos x="0" y="0"/>
          <wp:positionH relativeFrom="page">
            <wp:align>right</wp:align>
          </wp:positionH>
          <wp:positionV relativeFrom="paragraph">
            <wp:posOffset>-447040</wp:posOffset>
          </wp:positionV>
          <wp:extent cx="2578100" cy="1511300"/>
          <wp:effectExtent l="0" t="0" r="0" b="0"/>
          <wp:wrapNone/>
          <wp:docPr id="57226126" name="Image 3" descr="top-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letterhead.jpg"/>
                  <pic:cNvPicPr/>
                </pic:nvPicPr>
                <pic:blipFill>
                  <a:blip r:embed="rId1"/>
                  <a:stretch>
                    <a:fillRect/>
                  </a:stretch>
                </pic:blipFill>
                <pic:spPr>
                  <a:xfrm>
                    <a:off x="0" y="0"/>
                    <a:ext cx="2578100" cy="1511300"/>
                  </a:xfrm>
                  <a:prstGeom prst="rect">
                    <a:avLst/>
                  </a:prstGeom>
                </pic:spPr>
              </pic:pic>
            </a:graphicData>
          </a:graphic>
        </wp:anchor>
      </w:drawing>
    </w:r>
  </w:p>
  <w:p w14:paraId="28930839" w14:textId="77777777" w:rsidR="005B15AD" w:rsidRDefault="005B15AD">
    <w:pPr>
      <w:pStyle w:val="Header"/>
    </w:pPr>
  </w:p>
  <w:p w14:paraId="2BAF4C53" w14:textId="77777777" w:rsidR="005B15AD" w:rsidRDefault="005B15AD">
    <w:pPr>
      <w:pStyle w:val="Header"/>
    </w:pPr>
  </w:p>
  <w:p w14:paraId="7F0FC8EA" w14:textId="77777777" w:rsidR="005B15AD" w:rsidRDefault="005B15AD">
    <w:pPr>
      <w:pStyle w:val="Header"/>
    </w:pPr>
  </w:p>
  <w:p w14:paraId="1B9BC520" w14:textId="77777777" w:rsidR="005B15AD" w:rsidRDefault="005B15AD">
    <w:pPr>
      <w:pStyle w:val="Header"/>
    </w:pPr>
  </w:p>
  <w:p w14:paraId="41E629E0" w14:textId="77777777" w:rsidR="005B15AD" w:rsidRDefault="005B15AD">
    <w:pPr>
      <w:pStyle w:val="Header"/>
    </w:pPr>
  </w:p>
  <w:p w14:paraId="35E15AA1" w14:textId="77777777" w:rsidR="003F2394" w:rsidRDefault="003F2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1428"/>
    <w:multiLevelType w:val="hybridMultilevel"/>
    <w:tmpl w:val="2EFCFE1C"/>
    <w:lvl w:ilvl="0" w:tplc="4D342BE8">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 w15:restartNumberingAfterBreak="0">
    <w:nsid w:val="141803D0"/>
    <w:multiLevelType w:val="hybridMultilevel"/>
    <w:tmpl w:val="FC3AC258"/>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B6E6F86"/>
    <w:multiLevelType w:val="multilevel"/>
    <w:tmpl w:val="2A1AAB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77F35E8"/>
    <w:multiLevelType w:val="hybridMultilevel"/>
    <w:tmpl w:val="5E36AB06"/>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CA42BBA"/>
    <w:multiLevelType w:val="hybridMultilevel"/>
    <w:tmpl w:val="851C0E82"/>
    <w:lvl w:ilvl="0" w:tplc="3850D414">
      <w:start w:val="1"/>
      <w:numFmt w:val="bullet"/>
      <w:lvlText w:val=""/>
      <w:lvlJc w:val="left"/>
      <w:pPr>
        <w:ind w:left="791" w:hanging="360"/>
      </w:pPr>
      <w:rPr>
        <w:rFonts w:ascii="Symbol" w:hAnsi="Symbol" w:hint="default"/>
      </w:rPr>
    </w:lvl>
    <w:lvl w:ilvl="1" w:tplc="08090003" w:tentative="1">
      <w:start w:val="1"/>
      <w:numFmt w:val="bullet"/>
      <w:lvlText w:val="o"/>
      <w:lvlJc w:val="left"/>
      <w:pPr>
        <w:ind w:left="1511" w:hanging="360"/>
      </w:pPr>
      <w:rPr>
        <w:rFonts w:ascii="Courier New" w:hAnsi="Courier New" w:cs="Courier New" w:hint="default"/>
      </w:rPr>
    </w:lvl>
    <w:lvl w:ilvl="2" w:tplc="08090005" w:tentative="1">
      <w:start w:val="1"/>
      <w:numFmt w:val="bullet"/>
      <w:lvlText w:val=""/>
      <w:lvlJc w:val="left"/>
      <w:pPr>
        <w:ind w:left="2231" w:hanging="360"/>
      </w:pPr>
      <w:rPr>
        <w:rFonts w:ascii="Wingdings" w:hAnsi="Wingdings" w:hint="default"/>
      </w:rPr>
    </w:lvl>
    <w:lvl w:ilvl="3" w:tplc="08090001" w:tentative="1">
      <w:start w:val="1"/>
      <w:numFmt w:val="bullet"/>
      <w:lvlText w:val=""/>
      <w:lvlJc w:val="left"/>
      <w:pPr>
        <w:ind w:left="2951" w:hanging="360"/>
      </w:pPr>
      <w:rPr>
        <w:rFonts w:ascii="Symbol" w:hAnsi="Symbol" w:hint="default"/>
      </w:rPr>
    </w:lvl>
    <w:lvl w:ilvl="4" w:tplc="08090003" w:tentative="1">
      <w:start w:val="1"/>
      <w:numFmt w:val="bullet"/>
      <w:lvlText w:val="o"/>
      <w:lvlJc w:val="left"/>
      <w:pPr>
        <w:ind w:left="3671" w:hanging="360"/>
      </w:pPr>
      <w:rPr>
        <w:rFonts w:ascii="Courier New" w:hAnsi="Courier New" w:cs="Courier New" w:hint="default"/>
      </w:rPr>
    </w:lvl>
    <w:lvl w:ilvl="5" w:tplc="08090005" w:tentative="1">
      <w:start w:val="1"/>
      <w:numFmt w:val="bullet"/>
      <w:lvlText w:val=""/>
      <w:lvlJc w:val="left"/>
      <w:pPr>
        <w:ind w:left="4391" w:hanging="360"/>
      </w:pPr>
      <w:rPr>
        <w:rFonts w:ascii="Wingdings" w:hAnsi="Wingdings" w:hint="default"/>
      </w:rPr>
    </w:lvl>
    <w:lvl w:ilvl="6" w:tplc="08090001" w:tentative="1">
      <w:start w:val="1"/>
      <w:numFmt w:val="bullet"/>
      <w:lvlText w:val=""/>
      <w:lvlJc w:val="left"/>
      <w:pPr>
        <w:ind w:left="5111" w:hanging="360"/>
      </w:pPr>
      <w:rPr>
        <w:rFonts w:ascii="Symbol" w:hAnsi="Symbol" w:hint="default"/>
      </w:rPr>
    </w:lvl>
    <w:lvl w:ilvl="7" w:tplc="08090003" w:tentative="1">
      <w:start w:val="1"/>
      <w:numFmt w:val="bullet"/>
      <w:lvlText w:val="o"/>
      <w:lvlJc w:val="left"/>
      <w:pPr>
        <w:ind w:left="5831" w:hanging="360"/>
      </w:pPr>
      <w:rPr>
        <w:rFonts w:ascii="Courier New" w:hAnsi="Courier New" w:cs="Courier New" w:hint="default"/>
      </w:rPr>
    </w:lvl>
    <w:lvl w:ilvl="8" w:tplc="08090005" w:tentative="1">
      <w:start w:val="1"/>
      <w:numFmt w:val="bullet"/>
      <w:lvlText w:val=""/>
      <w:lvlJc w:val="left"/>
      <w:pPr>
        <w:ind w:left="6551" w:hanging="360"/>
      </w:pPr>
      <w:rPr>
        <w:rFonts w:ascii="Wingdings" w:hAnsi="Wingdings" w:hint="default"/>
      </w:rPr>
    </w:lvl>
  </w:abstractNum>
  <w:abstractNum w:abstractNumId="5" w15:restartNumberingAfterBreak="0">
    <w:nsid w:val="4A1E2C60"/>
    <w:multiLevelType w:val="hybridMultilevel"/>
    <w:tmpl w:val="A942BCE0"/>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510E3D96"/>
    <w:multiLevelType w:val="hybridMultilevel"/>
    <w:tmpl w:val="D8721E4E"/>
    <w:lvl w:ilvl="0" w:tplc="4D342BE8">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7" w15:restartNumberingAfterBreak="0">
    <w:nsid w:val="68927AA0"/>
    <w:multiLevelType w:val="hybridMultilevel"/>
    <w:tmpl w:val="1F2AF17C"/>
    <w:lvl w:ilvl="0" w:tplc="6CF6B30A">
      <w:start w:val="2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7EB3BA3"/>
    <w:multiLevelType w:val="hybridMultilevel"/>
    <w:tmpl w:val="547A547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9030615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629317">
    <w:abstractNumId w:val="5"/>
  </w:num>
  <w:num w:numId="3" w16cid:durableId="1915317900">
    <w:abstractNumId w:val="3"/>
  </w:num>
  <w:num w:numId="4" w16cid:durableId="299573506">
    <w:abstractNumId w:val="7"/>
  </w:num>
  <w:num w:numId="5" w16cid:durableId="870264488">
    <w:abstractNumId w:val="1"/>
  </w:num>
  <w:num w:numId="6" w16cid:durableId="693307770">
    <w:abstractNumId w:val="8"/>
  </w:num>
  <w:num w:numId="7" w16cid:durableId="316887382">
    <w:abstractNumId w:val="0"/>
  </w:num>
  <w:num w:numId="8" w16cid:durableId="955793223">
    <w:abstractNumId w:val="6"/>
  </w:num>
  <w:num w:numId="9" w16cid:durableId="973606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765"/>
    <w:rsid w:val="00005051"/>
    <w:rsid w:val="0001119E"/>
    <w:rsid w:val="0001199D"/>
    <w:rsid w:val="00016D48"/>
    <w:rsid w:val="00021573"/>
    <w:rsid w:val="00023CFA"/>
    <w:rsid w:val="000311F6"/>
    <w:rsid w:val="000344AC"/>
    <w:rsid w:val="00045099"/>
    <w:rsid w:val="00047CB6"/>
    <w:rsid w:val="00064925"/>
    <w:rsid w:val="00067A29"/>
    <w:rsid w:val="00067F86"/>
    <w:rsid w:val="00090092"/>
    <w:rsid w:val="00090469"/>
    <w:rsid w:val="00091654"/>
    <w:rsid w:val="0009211E"/>
    <w:rsid w:val="00093593"/>
    <w:rsid w:val="000B3762"/>
    <w:rsid w:val="000C2AF8"/>
    <w:rsid w:val="000C7E4A"/>
    <w:rsid w:val="000D632A"/>
    <w:rsid w:val="000D7F50"/>
    <w:rsid w:val="000E02F5"/>
    <w:rsid w:val="000E1911"/>
    <w:rsid w:val="000E293D"/>
    <w:rsid w:val="000E3482"/>
    <w:rsid w:val="000E64A7"/>
    <w:rsid w:val="000E7E98"/>
    <w:rsid w:val="000F39E8"/>
    <w:rsid w:val="00101EC5"/>
    <w:rsid w:val="0013210D"/>
    <w:rsid w:val="00156B68"/>
    <w:rsid w:val="0016346F"/>
    <w:rsid w:val="00183E3B"/>
    <w:rsid w:val="00184FF2"/>
    <w:rsid w:val="001A6160"/>
    <w:rsid w:val="001B0462"/>
    <w:rsid w:val="001B12E6"/>
    <w:rsid w:val="001C0D8C"/>
    <w:rsid w:val="001D4F39"/>
    <w:rsid w:val="001D5B91"/>
    <w:rsid w:val="001E05F8"/>
    <w:rsid w:val="001E1559"/>
    <w:rsid w:val="001E5DF4"/>
    <w:rsid w:val="001E7870"/>
    <w:rsid w:val="001F3603"/>
    <w:rsid w:val="001F6B94"/>
    <w:rsid w:val="001F709F"/>
    <w:rsid w:val="001F72A6"/>
    <w:rsid w:val="00201585"/>
    <w:rsid w:val="00204150"/>
    <w:rsid w:val="00204C77"/>
    <w:rsid w:val="00210C47"/>
    <w:rsid w:val="00224F2F"/>
    <w:rsid w:val="0022677C"/>
    <w:rsid w:val="00226C26"/>
    <w:rsid w:val="002318CF"/>
    <w:rsid w:val="00233473"/>
    <w:rsid w:val="00233FA0"/>
    <w:rsid w:val="002423A9"/>
    <w:rsid w:val="00244796"/>
    <w:rsid w:val="00264CB4"/>
    <w:rsid w:val="002813BA"/>
    <w:rsid w:val="00285504"/>
    <w:rsid w:val="00290F47"/>
    <w:rsid w:val="002940B4"/>
    <w:rsid w:val="002C50C4"/>
    <w:rsid w:val="002D0C37"/>
    <w:rsid w:val="002D3412"/>
    <w:rsid w:val="002D3B64"/>
    <w:rsid w:val="002E1719"/>
    <w:rsid w:val="002E1C32"/>
    <w:rsid w:val="002E6BFF"/>
    <w:rsid w:val="002E6D15"/>
    <w:rsid w:val="002E7345"/>
    <w:rsid w:val="002E7EE7"/>
    <w:rsid w:val="002F2C40"/>
    <w:rsid w:val="002F474E"/>
    <w:rsid w:val="002F62ED"/>
    <w:rsid w:val="003011F5"/>
    <w:rsid w:val="003029BE"/>
    <w:rsid w:val="00304926"/>
    <w:rsid w:val="0030515A"/>
    <w:rsid w:val="003164EC"/>
    <w:rsid w:val="00320A8A"/>
    <w:rsid w:val="00320F4C"/>
    <w:rsid w:val="003257ED"/>
    <w:rsid w:val="0033230C"/>
    <w:rsid w:val="0033507C"/>
    <w:rsid w:val="00340A5F"/>
    <w:rsid w:val="00345BDD"/>
    <w:rsid w:val="00347F49"/>
    <w:rsid w:val="00350B75"/>
    <w:rsid w:val="003570DB"/>
    <w:rsid w:val="00364394"/>
    <w:rsid w:val="00370172"/>
    <w:rsid w:val="00370D4C"/>
    <w:rsid w:val="003714C0"/>
    <w:rsid w:val="00390366"/>
    <w:rsid w:val="00393AAD"/>
    <w:rsid w:val="00397BEC"/>
    <w:rsid w:val="003A09F1"/>
    <w:rsid w:val="003A26C1"/>
    <w:rsid w:val="003A5AB6"/>
    <w:rsid w:val="003A7917"/>
    <w:rsid w:val="003A79A5"/>
    <w:rsid w:val="003C067A"/>
    <w:rsid w:val="003C06A0"/>
    <w:rsid w:val="003C1C53"/>
    <w:rsid w:val="003C3B17"/>
    <w:rsid w:val="003C5826"/>
    <w:rsid w:val="003D0259"/>
    <w:rsid w:val="003E11C2"/>
    <w:rsid w:val="003E1D46"/>
    <w:rsid w:val="003F2394"/>
    <w:rsid w:val="003F6D53"/>
    <w:rsid w:val="004050A1"/>
    <w:rsid w:val="004139ED"/>
    <w:rsid w:val="00415F6B"/>
    <w:rsid w:val="00423218"/>
    <w:rsid w:val="004244BC"/>
    <w:rsid w:val="00431398"/>
    <w:rsid w:val="004320E3"/>
    <w:rsid w:val="00432112"/>
    <w:rsid w:val="00437917"/>
    <w:rsid w:val="00445635"/>
    <w:rsid w:val="00465575"/>
    <w:rsid w:val="00466003"/>
    <w:rsid w:val="00466151"/>
    <w:rsid w:val="004669AD"/>
    <w:rsid w:val="0046798A"/>
    <w:rsid w:val="0048257F"/>
    <w:rsid w:val="00482BAC"/>
    <w:rsid w:val="00484053"/>
    <w:rsid w:val="00485102"/>
    <w:rsid w:val="004921F7"/>
    <w:rsid w:val="004950DC"/>
    <w:rsid w:val="004C0BD4"/>
    <w:rsid w:val="004C1544"/>
    <w:rsid w:val="004C23A9"/>
    <w:rsid w:val="004C2460"/>
    <w:rsid w:val="004C28EC"/>
    <w:rsid w:val="004C3072"/>
    <w:rsid w:val="004D03D6"/>
    <w:rsid w:val="004D1A2C"/>
    <w:rsid w:val="004E3236"/>
    <w:rsid w:val="004E7177"/>
    <w:rsid w:val="00503606"/>
    <w:rsid w:val="005100AE"/>
    <w:rsid w:val="00512866"/>
    <w:rsid w:val="00514C29"/>
    <w:rsid w:val="00530BDB"/>
    <w:rsid w:val="00540782"/>
    <w:rsid w:val="00553EFB"/>
    <w:rsid w:val="00554FAD"/>
    <w:rsid w:val="00555C71"/>
    <w:rsid w:val="0056383D"/>
    <w:rsid w:val="00566850"/>
    <w:rsid w:val="00572E7A"/>
    <w:rsid w:val="0057665B"/>
    <w:rsid w:val="005874AE"/>
    <w:rsid w:val="00591638"/>
    <w:rsid w:val="00591BB9"/>
    <w:rsid w:val="005946BA"/>
    <w:rsid w:val="005B15AD"/>
    <w:rsid w:val="005B32E9"/>
    <w:rsid w:val="005C05A4"/>
    <w:rsid w:val="005C0B58"/>
    <w:rsid w:val="005C1214"/>
    <w:rsid w:val="005C1FBC"/>
    <w:rsid w:val="005C3AF9"/>
    <w:rsid w:val="005E255F"/>
    <w:rsid w:val="005E7D6D"/>
    <w:rsid w:val="005F1C29"/>
    <w:rsid w:val="005F51A8"/>
    <w:rsid w:val="00601CCD"/>
    <w:rsid w:val="00602E14"/>
    <w:rsid w:val="00606F27"/>
    <w:rsid w:val="00607EF0"/>
    <w:rsid w:val="006169D0"/>
    <w:rsid w:val="00622202"/>
    <w:rsid w:val="006226EB"/>
    <w:rsid w:val="00622F84"/>
    <w:rsid w:val="006246AB"/>
    <w:rsid w:val="00632C14"/>
    <w:rsid w:val="00634C80"/>
    <w:rsid w:val="0064358B"/>
    <w:rsid w:val="00644EAF"/>
    <w:rsid w:val="00650D15"/>
    <w:rsid w:val="006563CF"/>
    <w:rsid w:val="006576B3"/>
    <w:rsid w:val="006819C1"/>
    <w:rsid w:val="00695B13"/>
    <w:rsid w:val="00696299"/>
    <w:rsid w:val="006A6C96"/>
    <w:rsid w:val="006B17DE"/>
    <w:rsid w:val="006B3F2A"/>
    <w:rsid w:val="006B47E3"/>
    <w:rsid w:val="006D05A0"/>
    <w:rsid w:val="006D4DEE"/>
    <w:rsid w:val="006D7784"/>
    <w:rsid w:val="006E13FD"/>
    <w:rsid w:val="006E221F"/>
    <w:rsid w:val="006E4756"/>
    <w:rsid w:val="006E7EB3"/>
    <w:rsid w:val="006F0219"/>
    <w:rsid w:val="006F7FF2"/>
    <w:rsid w:val="00700F40"/>
    <w:rsid w:val="007027ED"/>
    <w:rsid w:val="00702A9C"/>
    <w:rsid w:val="00702EA1"/>
    <w:rsid w:val="007037B7"/>
    <w:rsid w:val="00704B4F"/>
    <w:rsid w:val="00706796"/>
    <w:rsid w:val="0070681F"/>
    <w:rsid w:val="0071516B"/>
    <w:rsid w:val="0072387E"/>
    <w:rsid w:val="00732456"/>
    <w:rsid w:val="00735211"/>
    <w:rsid w:val="007473E9"/>
    <w:rsid w:val="00747594"/>
    <w:rsid w:val="0075072A"/>
    <w:rsid w:val="007521B6"/>
    <w:rsid w:val="00761BA5"/>
    <w:rsid w:val="0076495C"/>
    <w:rsid w:val="00765074"/>
    <w:rsid w:val="00787326"/>
    <w:rsid w:val="00791A34"/>
    <w:rsid w:val="00797C25"/>
    <w:rsid w:val="007A1450"/>
    <w:rsid w:val="007A38DE"/>
    <w:rsid w:val="007B036B"/>
    <w:rsid w:val="007B3B34"/>
    <w:rsid w:val="007F06D0"/>
    <w:rsid w:val="007F381A"/>
    <w:rsid w:val="007F6D19"/>
    <w:rsid w:val="008052E7"/>
    <w:rsid w:val="008064F4"/>
    <w:rsid w:val="008127E6"/>
    <w:rsid w:val="008260B9"/>
    <w:rsid w:val="00830944"/>
    <w:rsid w:val="008351E0"/>
    <w:rsid w:val="00840AF2"/>
    <w:rsid w:val="00852E5F"/>
    <w:rsid w:val="008537BB"/>
    <w:rsid w:val="008553D4"/>
    <w:rsid w:val="00871412"/>
    <w:rsid w:val="00883938"/>
    <w:rsid w:val="00891DE7"/>
    <w:rsid w:val="00894C04"/>
    <w:rsid w:val="008A14C1"/>
    <w:rsid w:val="008A60AE"/>
    <w:rsid w:val="008B1256"/>
    <w:rsid w:val="008B1544"/>
    <w:rsid w:val="008B267D"/>
    <w:rsid w:val="008C2224"/>
    <w:rsid w:val="008C4A4F"/>
    <w:rsid w:val="008C7662"/>
    <w:rsid w:val="008E26F7"/>
    <w:rsid w:val="00900AC8"/>
    <w:rsid w:val="009024A0"/>
    <w:rsid w:val="00914B11"/>
    <w:rsid w:val="00920880"/>
    <w:rsid w:val="009445D3"/>
    <w:rsid w:val="009514F4"/>
    <w:rsid w:val="00954082"/>
    <w:rsid w:val="00957430"/>
    <w:rsid w:val="00982EF5"/>
    <w:rsid w:val="009947C5"/>
    <w:rsid w:val="009A3CAF"/>
    <w:rsid w:val="009A3DE6"/>
    <w:rsid w:val="009B0A5F"/>
    <w:rsid w:val="009B2CA7"/>
    <w:rsid w:val="009B5411"/>
    <w:rsid w:val="009D2E5D"/>
    <w:rsid w:val="009D4602"/>
    <w:rsid w:val="009E1AE0"/>
    <w:rsid w:val="009E205A"/>
    <w:rsid w:val="009E4F2E"/>
    <w:rsid w:val="009E5E06"/>
    <w:rsid w:val="009E7D42"/>
    <w:rsid w:val="009F1D1E"/>
    <w:rsid w:val="009F5359"/>
    <w:rsid w:val="009F5459"/>
    <w:rsid w:val="009F767A"/>
    <w:rsid w:val="00A0558E"/>
    <w:rsid w:val="00A0711A"/>
    <w:rsid w:val="00A13C4A"/>
    <w:rsid w:val="00A2273F"/>
    <w:rsid w:val="00A22FCB"/>
    <w:rsid w:val="00A23C07"/>
    <w:rsid w:val="00A24BA1"/>
    <w:rsid w:val="00A337CA"/>
    <w:rsid w:val="00A3742C"/>
    <w:rsid w:val="00A4077A"/>
    <w:rsid w:val="00A534FA"/>
    <w:rsid w:val="00A55579"/>
    <w:rsid w:val="00A56AFB"/>
    <w:rsid w:val="00A71947"/>
    <w:rsid w:val="00A75F55"/>
    <w:rsid w:val="00A81775"/>
    <w:rsid w:val="00A81F1E"/>
    <w:rsid w:val="00A82AC3"/>
    <w:rsid w:val="00AA7234"/>
    <w:rsid w:val="00AC0618"/>
    <w:rsid w:val="00AC59DA"/>
    <w:rsid w:val="00AE649E"/>
    <w:rsid w:val="00AF0154"/>
    <w:rsid w:val="00AF3ADA"/>
    <w:rsid w:val="00AF7D82"/>
    <w:rsid w:val="00B02F62"/>
    <w:rsid w:val="00B05A87"/>
    <w:rsid w:val="00B061B7"/>
    <w:rsid w:val="00B07D6C"/>
    <w:rsid w:val="00B14690"/>
    <w:rsid w:val="00B20E9E"/>
    <w:rsid w:val="00B2597B"/>
    <w:rsid w:val="00B307D3"/>
    <w:rsid w:val="00B35905"/>
    <w:rsid w:val="00B4620F"/>
    <w:rsid w:val="00B52AE0"/>
    <w:rsid w:val="00B56303"/>
    <w:rsid w:val="00B572BF"/>
    <w:rsid w:val="00B67EE1"/>
    <w:rsid w:val="00B70BA4"/>
    <w:rsid w:val="00B718F8"/>
    <w:rsid w:val="00B727D3"/>
    <w:rsid w:val="00B739F2"/>
    <w:rsid w:val="00B73C3D"/>
    <w:rsid w:val="00B756CA"/>
    <w:rsid w:val="00B7782C"/>
    <w:rsid w:val="00B8670F"/>
    <w:rsid w:val="00B90C25"/>
    <w:rsid w:val="00B95646"/>
    <w:rsid w:val="00BA0549"/>
    <w:rsid w:val="00BA0AD5"/>
    <w:rsid w:val="00BB03C5"/>
    <w:rsid w:val="00BB0409"/>
    <w:rsid w:val="00BB1622"/>
    <w:rsid w:val="00BB75D5"/>
    <w:rsid w:val="00BC2486"/>
    <w:rsid w:val="00BC3F43"/>
    <w:rsid w:val="00BC43D4"/>
    <w:rsid w:val="00BC7737"/>
    <w:rsid w:val="00BD14D1"/>
    <w:rsid w:val="00BD40CC"/>
    <w:rsid w:val="00BE1662"/>
    <w:rsid w:val="00BE3407"/>
    <w:rsid w:val="00BE68CE"/>
    <w:rsid w:val="00BF2571"/>
    <w:rsid w:val="00BF494E"/>
    <w:rsid w:val="00C04F2F"/>
    <w:rsid w:val="00C159D1"/>
    <w:rsid w:val="00C1665C"/>
    <w:rsid w:val="00C17E90"/>
    <w:rsid w:val="00C2273A"/>
    <w:rsid w:val="00C22DFB"/>
    <w:rsid w:val="00C41AFF"/>
    <w:rsid w:val="00C42AAA"/>
    <w:rsid w:val="00C44F9C"/>
    <w:rsid w:val="00C57E10"/>
    <w:rsid w:val="00C66382"/>
    <w:rsid w:val="00C70164"/>
    <w:rsid w:val="00C7493D"/>
    <w:rsid w:val="00C852E4"/>
    <w:rsid w:val="00C9398A"/>
    <w:rsid w:val="00C95A0F"/>
    <w:rsid w:val="00C97EBB"/>
    <w:rsid w:val="00CB1623"/>
    <w:rsid w:val="00CB30A2"/>
    <w:rsid w:val="00CB7BFD"/>
    <w:rsid w:val="00CC1241"/>
    <w:rsid w:val="00CC2399"/>
    <w:rsid w:val="00CC2E55"/>
    <w:rsid w:val="00CD7F85"/>
    <w:rsid w:val="00CF22DA"/>
    <w:rsid w:val="00CF68F6"/>
    <w:rsid w:val="00D0091F"/>
    <w:rsid w:val="00D03454"/>
    <w:rsid w:val="00D051C2"/>
    <w:rsid w:val="00D10FA2"/>
    <w:rsid w:val="00D12BBC"/>
    <w:rsid w:val="00D151F1"/>
    <w:rsid w:val="00D176AC"/>
    <w:rsid w:val="00D208DB"/>
    <w:rsid w:val="00D22B90"/>
    <w:rsid w:val="00D32DAA"/>
    <w:rsid w:val="00D33DF2"/>
    <w:rsid w:val="00D443F6"/>
    <w:rsid w:val="00D472D3"/>
    <w:rsid w:val="00D5270F"/>
    <w:rsid w:val="00D538AD"/>
    <w:rsid w:val="00D62385"/>
    <w:rsid w:val="00D679B8"/>
    <w:rsid w:val="00D71D85"/>
    <w:rsid w:val="00D8053E"/>
    <w:rsid w:val="00D83394"/>
    <w:rsid w:val="00D8688A"/>
    <w:rsid w:val="00D87D6C"/>
    <w:rsid w:val="00D90D21"/>
    <w:rsid w:val="00D91089"/>
    <w:rsid w:val="00D91798"/>
    <w:rsid w:val="00DA6C19"/>
    <w:rsid w:val="00DA7F34"/>
    <w:rsid w:val="00DC3400"/>
    <w:rsid w:val="00DD2FEE"/>
    <w:rsid w:val="00DE2031"/>
    <w:rsid w:val="00DE5034"/>
    <w:rsid w:val="00DE5B01"/>
    <w:rsid w:val="00DF07B4"/>
    <w:rsid w:val="00DF3309"/>
    <w:rsid w:val="00DF5764"/>
    <w:rsid w:val="00E01CDE"/>
    <w:rsid w:val="00E021E2"/>
    <w:rsid w:val="00E05417"/>
    <w:rsid w:val="00E23622"/>
    <w:rsid w:val="00E259E3"/>
    <w:rsid w:val="00E2705D"/>
    <w:rsid w:val="00E34C17"/>
    <w:rsid w:val="00E35CBA"/>
    <w:rsid w:val="00E40EB1"/>
    <w:rsid w:val="00E44873"/>
    <w:rsid w:val="00E451E2"/>
    <w:rsid w:val="00E54E3F"/>
    <w:rsid w:val="00E57403"/>
    <w:rsid w:val="00E66130"/>
    <w:rsid w:val="00E66B45"/>
    <w:rsid w:val="00E70F08"/>
    <w:rsid w:val="00E82484"/>
    <w:rsid w:val="00E84340"/>
    <w:rsid w:val="00E84411"/>
    <w:rsid w:val="00E8464F"/>
    <w:rsid w:val="00E852AD"/>
    <w:rsid w:val="00E86D50"/>
    <w:rsid w:val="00E94765"/>
    <w:rsid w:val="00E97686"/>
    <w:rsid w:val="00EA5206"/>
    <w:rsid w:val="00EB31CA"/>
    <w:rsid w:val="00EC00B2"/>
    <w:rsid w:val="00EC2A85"/>
    <w:rsid w:val="00EC5468"/>
    <w:rsid w:val="00ED12A5"/>
    <w:rsid w:val="00ED4DC9"/>
    <w:rsid w:val="00ED5FC5"/>
    <w:rsid w:val="00ED7D41"/>
    <w:rsid w:val="00EE680C"/>
    <w:rsid w:val="00EF0261"/>
    <w:rsid w:val="00EF070A"/>
    <w:rsid w:val="00EF1460"/>
    <w:rsid w:val="00EF18B5"/>
    <w:rsid w:val="00EF7895"/>
    <w:rsid w:val="00F00CE7"/>
    <w:rsid w:val="00F0209E"/>
    <w:rsid w:val="00F03E19"/>
    <w:rsid w:val="00F14256"/>
    <w:rsid w:val="00F22186"/>
    <w:rsid w:val="00F503BA"/>
    <w:rsid w:val="00F523E0"/>
    <w:rsid w:val="00F578B8"/>
    <w:rsid w:val="00F62271"/>
    <w:rsid w:val="00F6399C"/>
    <w:rsid w:val="00F640AA"/>
    <w:rsid w:val="00F65188"/>
    <w:rsid w:val="00F65D10"/>
    <w:rsid w:val="00F66068"/>
    <w:rsid w:val="00F718D1"/>
    <w:rsid w:val="00F721DD"/>
    <w:rsid w:val="00F7599F"/>
    <w:rsid w:val="00F83AC5"/>
    <w:rsid w:val="00F8620B"/>
    <w:rsid w:val="00F87494"/>
    <w:rsid w:val="00F90E9C"/>
    <w:rsid w:val="00F919BB"/>
    <w:rsid w:val="00F97474"/>
    <w:rsid w:val="00FA136C"/>
    <w:rsid w:val="00FA43F0"/>
    <w:rsid w:val="00FA5240"/>
    <w:rsid w:val="00FB2407"/>
    <w:rsid w:val="00FB2562"/>
    <w:rsid w:val="00FB2C4D"/>
    <w:rsid w:val="00FB6AFF"/>
    <w:rsid w:val="00FD0F1D"/>
    <w:rsid w:val="00FD4773"/>
    <w:rsid w:val="00FF0AD7"/>
    <w:rsid w:val="00FF15FB"/>
    <w:rsid w:val="00FF2E96"/>
    <w:rsid w:val="00FF3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697F1"/>
  <w15:chartTrackingRefBased/>
  <w15:docId w15:val="{77F0A378-39FA-4682-A9BD-2AB6E9BA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ED4DC9"/>
    <w:pPr>
      <w:suppressAutoHyphens/>
      <w:spacing w:after="120" w:line="240" w:lineRule="auto"/>
      <w:jc w:val="both"/>
    </w:pPr>
    <w:rPr>
      <w:rFonts w:ascii="Verdana" w:hAnsi="Verdana"/>
      <w:color w:val="2D659A" w:themeColor="text2" w:themeShade="BF"/>
      <w:sz w:val="20"/>
      <w:szCs w:val="24"/>
    </w:rPr>
  </w:style>
  <w:style w:type="paragraph" w:styleId="Heading1">
    <w:name w:val="heading 1"/>
    <w:basedOn w:val="Normal"/>
    <w:next w:val="Normal"/>
    <w:link w:val="Heading1Char"/>
    <w:autoRedefine/>
    <w:uiPriority w:val="9"/>
    <w:qFormat/>
    <w:rsid w:val="00466003"/>
    <w:pPr>
      <w:keepNext/>
      <w:keepLines/>
      <w:spacing w:before="400"/>
      <w:outlineLvl w:val="0"/>
    </w:pPr>
    <w:rPr>
      <w:rFonts w:eastAsiaTheme="majorEastAsia" w:cstheme="majorBidi"/>
      <w:b/>
      <w:color w:val="006E95" w:themeColor="text1"/>
      <w:sz w:val="36"/>
      <w:szCs w:val="36"/>
    </w:rPr>
  </w:style>
  <w:style w:type="paragraph" w:styleId="Heading2">
    <w:name w:val="heading 2"/>
    <w:basedOn w:val="Normal"/>
    <w:next w:val="Normal"/>
    <w:link w:val="Heading2Char"/>
    <w:autoRedefine/>
    <w:uiPriority w:val="9"/>
    <w:unhideWhenUsed/>
    <w:qFormat/>
    <w:rsid w:val="00466003"/>
    <w:pPr>
      <w:keepNext/>
      <w:keepLines/>
      <w:spacing w:before="40"/>
      <w:outlineLvl w:val="1"/>
    </w:pPr>
    <w:rPr>
      <w:rFonts w:eastAsiaTheme="majorEastAsia" w:cstheme="majorBidi"/>
      <w:color w:val="006E95" w:themeColor="text1"/>
      <w:sz w:val="32"/>
      <w:szCs w:val="32"/>
    </w:rPr>
  </w:style>
  <w:style w:type="paragraph" w:styleId="Heading3">
    <w:name w:val="heading 3"/>
    <w:basedOn w:val="Normal"/>
    <w:next w:val="Normal"/>
    <w:link w:val="Heading3Char"/>
    <w:autoRedefine/>
    <w:uiPriority w:val="9"/>
    <w:unhideWhenUsed/>
    <w:qFormat/>
    <w:rsid w:val="00466003"/>
    <w:pPr>
      <w:keepNext/>
      <w:keepLines/>
      <w:spacing w:before="40"/>
      <w:outlineLvl w:val="2"/>
    </w:pPr>
    <w:rPr>
      <w:rFonts w:eastAsiaTheme="majorEastAsia" w:cstheme="majorBidi"/>
      <w:color w:val="006E95" w:themeColor="text1"/>
      <w:sz w:val="28"/>
    </w:rPr>
  </w:style>
  <w:style w:type="paragraph" w:styleId="Heading4">
    <w:name w:val="heading 4"/>
    <w:basedOn w:val="Normal"/>
    <w:next w:val="Normal"/>
    <w:link w:val="Heading4Char"/>
    <w:autoRedefine/>
    <w:uiPriority w:val="9"/>
    <w:unhideWhenUsed/>
    <w:qFormat/>
    <w:rsid w:val="00466003"/>
    <w:pPr>
      <w:keepNext/>
      <w:keepLines/>
      <w:spacing w:before="40" w:after="0"/>
      <w:outlineLvl w:val="3"/>
    </w:pPr>
    <w:rPr>
      <w:rFonts w:eastAsiaTheme="majorEastAsia" w:cstheme="majorBidi"/>
      <w:i/>
      <w:iCs/>
      <w:color w:val="006E95" w:themeColor="text1"/>
    </w:rPr>
  </w:style>
  <w:style w:type="paragraph" w:styleId="Heading5">
    <w:name w:val="heading 5"/>
    <w:basedOn w:val="Normal"/>
    <w:next w:val="Normal"/>
    <w:link w:val="Heading5Char"/>
    <w:autoRedefine/>
    <w:uiPriority w:val="9"/>
    <w:unhideWhenUsed/>
    <w:qFormat/>
    <w:rsid w:val="00466003"/>
    <w:pPr>
      <w:keepNext/>
      <w:keepLines/>
      <w:spacing w:before="40" w:after="0"/>
      <w:outlineLvl w:val="4"/>
    </w:pPr>
    <w:rPr>
      <w:rFonts w:eastAsiaTheme="majorEastAsia" w:cstheme="majorBidi"/>
      <w:color w:val="006E95" w:themeColor="text1"/>
    </w:rPr>
  </w:style>
  <w:style w:type="paragraph" w:styleId="Heading6">
    <w:name w:val="heading 6"/>
    <w:basedOn w:val="Normal"/>
    <w:next w:val="Normal"/>
    <w:link w:val="Heading6Char"/>
    <w:autoRedefine/>
    <w:uiPriority w:val="9"/>
    <w:semiHidden/>
    <w:unhideWhenUsed/>
    <w:qFormat/>
    <w:rsid w:val="004C1544"/>
    <w:pPr>
      <w:keepNext/>
      <w:keepLines/>
      <w:spacing w:before="40" w:after="0"/>
      <w:outlineLvl w:val="5"/>
    </w:pPr>
    <w:rPr>
      <w:rFonts w:eastAsiaTheme="majorEastAsia" w:cstheme="majorBidi"/>
      <w:color w:val="3F4B79"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8A14C1"/>
    <w:pPr>
      <w:spacing w:after="0" w:line="240" w:lineRule="auto"/>
    </w:pPr>
    <w:rPr>
      <w:rFonts w:ascii="Segoe UI Semilight" w:eastAsiaTheme="minorEastAsia" w:hAnsi="Segoe UI Semilight"/>
    </w:rPr>
  </w:style>
  <w:style w:type="character" w:customStyle="1" w:styleId="Heading1Char">
    <w:name w:val="Heading 1 Char"/>
    <w:basedOn w:val="DefaultParagraphFont"/>
    <w:link w:val="Heading1"/>
    <w:uiPriority w:val="9"/>
    <w:rsid w:val="00466003"/>
    <w:rPr>
      <w:rFonts w:ascii="Verdana" w:eastAsiaTheme="majorEastAsia" w:hAnsi="Verdana" w:cstheme="majorBidi"/>
      <w:b/>
      <w:color w:val="006E95" w:themeColor="text1"/>
      <w:sz w:val="36"/>
      <w:szCs w:val="36"/>
      <w:lang w:val="en-US"/>
    </w:rPr>
  </w:style>
  <w:style w:type="character" w:customStyle="1" w:styleId="Heading2Char">
    <w:name w:val="Heading 2 Char"/>
    <w:basedOn w:val="DefaultParagraphFont"/>
    <w:link w:val="Heading2"/>
    <w:uiPriority w:val="9"/>
    <w:rsid w:val="00466003"/>
    <w:rPr>
      <w:rFonts w:ascii="Verdana" w:eastAsiaTheme="majorEastAsia" w:hAnsi="Verdana" w:cstheme="majorBidi"/>
      <w:color w:val="006E95" w:themeColor="text1"/>
      <w:sz w:val="32"/>
      <w:szCs w:val="32"/>
      <w:lang w:val="en-US"/>
    </w:rPr>
  </w:style>
  <w:style w:type="paragraph" w:styleId="Title">
    <w:name w:val="Title"/>
    <w:basedOn w:val="Normal"/>
    <w:next w:val="Normal"/>
    <w:link w:val="TitleChar"/>
    <w:autoRedefine/>
    <w:uiPriority w:val="10"/>
    <w:qFormat/>
    <w:rsid w:val="00EF070A"/>
    <w:pPr>
      <w:spacing w:line="204" w:lineRule="auto"/>
      <w:contextualSpacing/>
    </w:pPr>
    <w:rPr>
      <w:rFonts w:eastAsiaTheme="majorEastAsia" w:cstheme="majorBidi"/>
      <w:b/>
      <w:caps/>
      <w:color w:val="006E95" w:themeColor="text1"/>
      <w:spacing w:val="-15"/>
      <w:sz w:val="36"/>
      <w:szCs w:val="72"/>
    </w:rPr>
  </w:style>
  <w:style w:type="character" w:customStyle="1" w:styleId="TitleChar">
    <w:name w:val="Title Char"/>
    <w:basedOn w:val="DefaultParagraphFont"/>
    <w:link w:val="Title"/>
    <w:uiPriority w:val="10"/>
    <w:rsid w:val="00EF070A"/>
    <w:rPr>
      <w:rFonts w:ascii="Verdana" w:eastAsiaTheme="majorEastAsia" w:hAnsi="Verdana" w:cstheme="majorBidi"/>
      <w:b/>
      <w:caps/>
      <w:color w:val="006E95" w:themeColor="text1"/>
      <w:spacing w:val="-15"/>
      <w:sz w:val="36"/>
      <w:szCs w:val="72"/>
    </w:rPr>
  </w:style>
  <w:style w:type="paragraph" w:styleId="Subtitle">
    <w:name w:val="Subtitle"/>
    <w:basedOn w:val="Normal"/>
    <w:next w:val="Normal"/>
    <w:link w:val="SubtitleChar"/>
    <w:autoRedefine/>
    <w:uiPriority w:val="11"/>
    <w:qFormat/>
    <w:rsid w:val="00B2597B"/>
    <w:pPr>
      <w:numPr>
        <w:ilvl w:val="1"/>
      </w:numPr>
      <w:spacing w:after="240"/>
    </w:pPr>
    <w:rPr>
      <w:rFonts w:eastAsiaTheme="majorEastAsia" w:cstheme="majorBidi"/>
      <w:color w:val="006E95" w:themeColor="text1"/>
      <w:sz w:val="28"/>
      <w:szCs w:val="28"/>
    </w:rPr>
  </w:style>
  <w:style w:type="character" w:customStyle="1" w:styleId="SubtitleChar">
    <w:name w:val="Subtitle Char"/>
    <w:basedOn w:val="DefaultParagraphFont"/>
    <w:link w:val="Subtitle"/>
    <w:uiPriority w:val="11"/>
    <w:rsid w:val="00B2597B"/>
    <w:rPr>
      <w:rFonts w:ascii="Verdana" w:eastAsiaTheme="majorEastAsia" w:hAnsi="Verdana" w:cstheme="majorBidi"/>
      <w:color w:val="006E95" w:themeColor="text1"/>
      <w:sz w:val="28"/>
      <w:szCs w:val="28"/>
      <w:lang w:val="en-US"/>
    </w:rPr>
  </w:style>
  <w:style w:type="character" w:customStyle="1" w:styleId="Heading3Char">
    <w:name w:val="Heading 3 Char"/>
    <w:basedOn w:val="DefaultParagraphFont"/>
    <w:link w:val="Heading3"/>
    <w:uiPriority w:val="9"/>
    <w:rsid w:val="00466003"/>
    <w:rPr>
      <w:rFonts w:ascii="Verdana" w:eastAsiaTheme="majorEastAsia" w:hAnsi="Verdana" w:cstheme="majorBidi"/>
      <w:color w:val="006E95" w:themeColor="text1"/>
      <w:sz w:val="28"/>
      <w:szCs w:val="24"/>
      <w:lang w:val="en-US"/>
    </w:rPr>
  </w:style>
  <w:style w:type="character" w:styleId="Emphasis">
    <w:name w:val="Emphasis"/>
    <w:basedOn w:val="DefaultParagraphFont"/>
    <w:uiPriority w:val="20"/>
    <w:qFormat/>
    <w:rsid w:val="001F6B94"/>
    <w:rPr>
      <w:rFonts w:ascii="Verdana" w:hAnsi="Verdana"/>
      <w:i/>
      <w:iCs/>
      <w:color w:val="4288C8" w:themeColor="text2"/>
      <w:sz w:val="18"/>
    </w:rPr>
  </w:style>
  <w:style w:type="paragraph" w:customStyle="1" w:styleId="Normal2">
    <w:name w:val="Normal 2"/>
    <w:basedOn w:val="Normal"/>
    <w:link w:val="Normal2Char"/>
    <w:autoRedefine/>
    <w:qFormat/>
    <w:rsid w:val="001F6B94"/>
    <w:rPr>
      <w:rFonts w:ascii="Segoe UI Semilight" w:hAnsi="Segoe UI Semilight"/>
      <w:sz w:val="22"/>
      <w:lang w:val="fr-BE"/>
    </w:rPr>
  </w:style>
  <w:style w:type="character" w:customStyle="1" w:styleId="Normal2Char">
    <w:name w:val="Normal 2 Char"/>
    <w:basedOn w:val="DefaultParagraphFont"/>
    <w:link w:val="Normal2"/>
    <w:rsid w:val="001F6B94"/>
    <w:rPr>
      <w:rFonts w:ascii="Segoe UI Semilight" w:eastAsiaTheme="minorEastAsia" w:hAnsi="Segoe UI Semilight"/>
      <w:color w:val="4288C8" w:themeColor="text2"/>
      <w:lang w:val="fr-BE"/>
    </w:rPr>
  </w:style>
  <w:style w:type="paragraph" w:styleId="IntenseQuote">
    <w:name w:val="Intense Quote"/>
    <w:basedOn w:val="Normal"/>
    <w:next w:val="Normal"/>
    <w:link w:val="IntenseQuoteChar"/>
    <w:autoRedefine/>
    <w:uiPriority w:val="30"/>
    <w:qFormat/>
    <w:rsid w:val="001F6B94"/>
    <w:pPr>
      <w:pBdr>
        <w:top w:val="single" w:sz="4" w:space="10" w:color="3F4B79" w:themeColor="accent5"/>
        <w:bottom w:val="single" w:sz="4" w:space="10" w:color="3F4B79" w:themeColor="accent5"/>
      </w:pBdr>
      <w:spacing w:before="360" w:after="360"/>
      <w:ind w:left="864" w:right="864"/>
      <w:jc w:val="center"/>
    </w:pPr>
    <w:rPr>
      <w:i/>
      <w:iCs/>
      <w:color w:val="3F4B79" w:themeColor="accent5"/>
    </w:rPr>
  </w:style>
  <w:style w:type="character" w:customStyle="1" w:styleId="IntenseQuoteChar">
    <w:name w:val="Intense Quote Char"/>
    <w:basedOn w:val="DefaultParagraphFont"/>
    <w:link w:val="IntenseQuote"/>
    <w:uiPriority w:val="30"/>
    <w:rsid w:val="001F6B94"/>
    <w:rPr>
      <w:rFonts w:ascii="Verdana" w:eastAsiaTheme="minorEastAsia" w:hAnsi="Verdana"/>
      <w:i/>
      <w:iCs/>
      <w:color w:val="3F4B79" w:themeColor="accent5"/>
      <w:sz w:val="18"/>
    </w:rPr>
  </w:style>
  <w:style w:type="table" w:styleId="GridTable6Colorful-Accent5">
    <w:name w:val="Grid Table 6 Colorful Accent 5"/>
    <w:basedOn w:val="TableNormal"/>
    <w:uiPriority w:val="51"/>
    <w:rsid w:val="001F6B94"/>
    <w:pPr>
      <w:spacing w:after="0" w:line="240" w:lineRule="auto"/>
    </w:pPr>
    <w:rPr>
      <w:rFonts w:ascii="Verdana" w:hAnsi="Verdana"/>
      <w:color w:val="006E95" w:themeColor="text1"/>
      <w:sz w:val="18"/>
    </w:rPr>
    <w:tblPr>
      <w:tblStyleRowBandSize w:val="1"/>
      <w:tblStyleColBandSize w:val="1"/>
      <w:tblBorders>
        <w:top w:val="single" w:sz="4" w:space="0" w:color="7E8ABC" w:themeColor="accent5" w:themeTint="99"/>
        <w:left w:val="single" w:sz="4" w:space="0" w:color="7E8ABC" w:themeColor="accent5" w:themeTint="99"/>
        <w:bottom w:val="single" w:sz="4" w:space="0" w:color="7E8ABC" w:themeColor="accent5" w:themeTint="99"/>
        <w:right w:val="single" w:sz="4" w:space="0" w:color="7E8ABC" w:themeColor="accent5" w:themeTint="99"/>
        <w:insideH w:val="single" w:sz="4" w:space="0" w:color="7E8ABC" w:themeColor="accent5" w:themeTint="99"/>
        <w:insideV w:val="single" w:sz="4" w:space="0" w:color="7E8ABC" w:themeColor="accent5" w:themeTint="99"/>
      </w:tblBorders>
    </w:tblPr>
    <w:tblStylePr w:type="firstRow">
      <w:rPr>
        <w:rFonts w:ascii="Verdana" w:hAnsi="Verdana"/>
        <w:b w:val="0"/>
        <w:bCs/>
        <w:color w:val="FFFFFF" w:themeColor="background1"/>
      </w:rPr>
      <w:tblPr/>
      <w:tcPr>
        <w:shd w:val="clear" w:color="auto" w:fill="2F385A" w:themeFill="accent5" w:themeFillShade="BF"/>
      </w:tcPr>
    </w:tblStylePr>
    <w:tblStylePr w:type="lastRow">
      <w:rPr>
        <w:b/>
        <w:bCs/>
      </w:rPr>
      <w:tblPr/>
      <w:tcPr>
        <w:tcBorders>
          <w:top w:val="double" w:sz="4" w:space="0" w:color="7E8ABC" w:themeColor="accent5" w:themeTint="99"/>
        </w:tcBorders>
      </w:tcPr>
    </w:tblStylePr>
    <w:tblStylePr w:type="firstCol">
      <w:rPr>
        <w:b/>
        <w:bCs/>
      </w:rPr>
    </w:tblStylePr>
    <w:tblStylePr w:type="lastCol">
      <w:rPr>
        <w:b/>
        <w:bCs/>
      </w:rPr>
    </w:tblStylePr>
    <w:tblStylePr w:type="band1Vert">
      <w:tblPr/>
      <w:tcPr>
        <w:shd w:val="clear" w:color="auto" w:fill="D4D8E8" w:themeFill="accent5" w:themeFillTint="33"/>
      </w:tcPr>
    </w:tblStylePr>
    <w:tblStylePr w:type="band1Horz">
      <w:tblPr/>
      <w:tcPr>
        <w:shd w:val="clear" w:color="auto" w:fill="D4D8E8" w:themeFill="accent5" w:themeFillTint="33"/>
      </w:tcPr>
    </w:tblStylePr>
  </w:style>
  <w:style w:type="table" w:styleId="GridTable4">
    <w:name w:val="Grid Table 4"/>
    <w:basedOn w:val="TableNormal"/>
    <w:uiPriority w:val="49"/>
    <w:rsid w:val="003011F5"/>
    <w:pPr>
      <w:spacing w:after="0" w:line="240" w:lineRule="auto"/>
    </w:pPr>
    <w:tblPr>
      <w:tblStyleRowBandSize w:val="1"/>
      <w:tblStyleColBandSize w:val="1"/>
      <w:tblBorders>
        <w:top w:val="single" w:sz="4" w:space="0" w:color="006E95" w:themeColor="text1"/>
        <w:left w:val="single" w:sz="4" w:space="0" w:color="006E95" w:themeColor="text1"/>
        <w:bottom w:val="single" w:sz="4" w:space="0" w:color="006E95" w:themeColor="text1"/>
        <w:right w:val="single" w:sz="4" w:space="0" w:color="006E95" w:themeColor="text1"/>
        <w:insideH w:val="single" w:sz="4" w:space="0" w:color="006E95" w:themeColor="text1"/>
        <w:insideV w:val="single" w:sz="4" w:space="0" w:color="006E95" w:themeColor="text1"/>
      </w:tblBorders>
    </w:tblPr>
    <w:tcPr>
      <w:shd w:val="clear" w:color="auto" w:fill="auto"/>
    </w:tcPr>
    <w:tblStylePr w:type="firstRow">
      <w:rPr>
        <w:b/>
        <w:bCs/>
        <w:color w:val="FFFFFF" w:themeColor="background1"/>
      </w:rPr>
      <w:tblPr/>
      <w:tcPr>
        <w:tcBorders>
          <w:top w:val="single" w:sz="4" w:space="0" w:color="006E95" w:themeColor="text1"/>
          <w:left w:val="single" w:sz="4" w:space="0" w:color="006E95" w:themeColor="text1"/>
          <w:bottom w:val="single" w:sz="4" w:space="0" w:color="006E95" w:themeColor="text1"/>
          <w:right w:val="single" w:sz="4" w:space="0" w:color="006E95" w:themeColor="text1"/>
          <w:insideH w:val="nil"/>
          <w:insideV w:val="nil"/>
        </w:tcBorders>
        <w:shd w:val="clear" w:color="auto" w:fill="006E95" w:themeFill="text1"/>
      </w:tcPr>
    </w:tblStylePr>
    <w:tblStylePr w:type="lastRow">
      <w:rPr>
        <w:b/>
        <w:bCs/>
      </w:rPr>
      <w:tblPr/>
      <w:tcPr>
        <w:tcBorders>
          <w:top w:val="double" w:sz="4" w:space="0" w:color="006E95" w:themeColor="text1"/>
        </w:tcBorders>
      </w:tcPr>
    </w:tblStylePr>
    <w:tblStylePr w:type="firstCol">
      <w:rPr>
        <w:b w:val="0"/>
        <w:bCs/>
      </w:rPr>
    </w:tblStylePr>
    <w:tblStylePr w:type="lastCol">
      <w:rPr>
        <w:b w:val="0"/>
        <w:bCs/>
      </w:rPr>
    </w:tblStylePr>
    <w:tblStylePr w:type="band1Vert">
      <w:tblPr/>
      <w:tcPr>
        <w:shd w:val="clear" w:color="auto" w:fill="B6EBFF" w:themeFill="text1" w:themeFillTint="33"/>
      </w:tcPr>
    </w:tblStylePr>
    <w:tblStylePr w:type="band1Horz">
      <w:tblPr/>
      <w:tcPr>
        <w:shd w:val="clear" w:color="auto" w:fill="D4D8E8" w:themeFill="accent5" w:themeFillTint="33"/>
      </w:tcPr>
    </w:tblStylePr>
  </w:style>
  <w:style w:type="paragraph" w:customStyle="1" w:styleId="Bold">
    <w:name w:val="Bold"/>
    <w:basedOn w:val="Normal"/>
    <w:autoRedefine/>
    <w:rsid w:val="00A75F55"/>
    <w:pPr>
      <w:ind w:left="1134" w:hanging="1134"/>
      <w:outlineLvl w:val="0"/>
    </w:pPr>
    <w:rPr>
      <w:b/>
      <w:color w:val="006E95" w:themeColor="text1"/>
    </w:rPr>
  </w:style>
  <w:style w:type="character" w:customStyle="1" w:styleId="Heading4Char">
    <w:name w:val="Heading 4 Char"/>
    <w:basedOn w:val="DefaultParagraphFont"/>
    <w:link w:val="Heading4"/>
    <w:uiPriority w:val="9"/>
    <w:rsid w:val="00466003"/>
    <w:rPr>
      <w:rFonts w:ascii="Verdana" w:eastAsiaTheme="majorEastAsia" w:hAnsi="Verdana" w:cstheme="majorBidi"/>
      <w:i/>
      <w:iCs/>
      <w:color w:val="006E95" w:themeColor="text1"/>
      <w:sz w:val="20"/>
      <w:szCs w:val="24"/>
      <w:lang w:val="en-US"/>
    </w:rPr>
  </w:style>
  <w:style w:type="character" w:customStyle="1" w:styleId="Heading5Char">
    <w:name w:val="Heading 5 Char"/>
    <w:basedOn w:val="DefaultParagraphFont"/>
    <w:link w:val="Heading5"/>
    <w:uiPriority w:val="9"/>
    <w:rsid w:val="00466003"/>
    <w:rPr>
      <w:rFonts w:ascii="Verdana" w:eastAsiaTheme="majorEastAsia" w:hAnsi="Verdana" w:cstheme="majorBidi"/>
      <w:color w:val="006E95" w:themeColor="text1"/>
      <w:sz w:val="20"/>
      <w:szCs w:val="24"/>
      <w:lang w:val="en-US"/>
    </w:rPr>
  </w:style>
  <w:style w:type="paragraph" w:styleId="Header">
    <w:name w:val="header"/>
    <w:basedOn w:val="Normal"/>
    <w:link w:val="HeaderChar"/>
    <w:uiPriority w:val="99"/>
    <w:unhideWhenUsed/>
    <w:rsid w:val="00ED12A5"/>
    <w:pPr>
      <w:tabs>
        <w:tab w:val="center" w:pos="4513"/>
        <w:tab w:val="right" w:pos="9026"/>
      </w:tabs>
      <w:spacing w:after="0"/>
    </w:pPr>
  </w:style>
  <w:style w:type="character" w:customStyle="1" w:styleId="HeaderChar">
    <w:name w:val="Header Char"/>
    <w:basedOn w:val="DefaultParagraphFont"/>
    <w:link w:val="Header"/>
    <w:uiPriority w:val="99"/>
    <w:rsid w:val="00ED12A5"/>
    <w:rPr>
      <w:rFonts w:ascii="Verdana" w:hAnsi="Verdana"/>
      <w:color w:val="4288C8" w:themeColor="text2"/>
      <w:sz w:val="20"/>
      <w:szCs w:val="24"/>
      <w:lang w:val="en-US"/>
    </w:rPr>
  </w:style>
  <w:style w:type="paragraph" w:styleId="Footer">
    <w:name w:val="footer"/>
    <w:basedOn w:val="Normal"/>
    <w:link w:val="FooterChar"/>
    <w:uiPriority w:val="99"/>
    <w:unhideWhenUsed/>
    <w:rsid w:val="00ED12A5"/>
    <w:pPr>
      <w:tabs>
        <w:tab w:val="center" w:pos="4513"/>
        <w:tab w:val="right" w:pos="9026"/>
      </w:tabs>
      <w:spacing w:after="0"/>
    </w:pPr>
  </w:style>
  <w:style w:type="character" w:customStyle="1" w:styleId="FooterChar">
    <w:name w:val="Footer Char"/>
    <w:basedOn w:val="DefaultParagraphFont"/>
    <w:link w:val="Footer"/>
    <w:uiPriority w:val="99"/>
    <w:rsid w:val="00ED12A5"/>
    <w:rPr>
      <w:rFonts w:ascii="Verdana" w:hAnsi="Verdana"/>
      <w:color w:val="4288C8" w:themeColor="text2"/>
      <w:sz w:val="20"/>
      <w:szCs w:val="24"/>
      <w:lang w:val="en-US"/>
    </w:rPr>
  </w:style>
  <w:style w:type="paragraph" w:customStyle="1" w:styleId="Footnote">
    <w:name w:val="Footnote"/>
    <w:basedOn w:val="Normal"/>
    <w:uiPriority w:val="99"/>
    <w:rsid w:val="00ED12A5"/>
    <w:pPr>
      <w:suppressAutoHyphens w:val="0"/>
      <w:spacing w:after="0"/>
    </w:pPr>
    <w:rPr>
      <w:rFonts w:eastAsiaTheme="minorEastAsia"/>
      <w:sz w:val="18"/>
      <w:szCs w:val="22"/>
    </w:rPr>
  </w:style>
  <w:style w:type="character" w:styleId="PageNumber">
    <w:name w:val="page number"/>
    <w:basedOn w:val="DefaultParagraphFont"/>
    <w:uiPriority w:val="99"/>
    <w:semiHidden/>
    <w:unhideWhenUsed/>
    <w:rsid w:val="00ED12A5"/>
  </w:style>
  <w:style w:type="character" w:customStyle="1" w:styleId="Heading6Char">
    <w:name w:val="Heading 6 Char"/>
    <w:basedOn w:val="DefaultParagraphFont"/>
    <w:link w:val="Heading6"/>
    <w:uiPriority w:val="9"/>
    <w:semiHidden/>
    <w:rsid w:val="004C1544"/>
    <w:rPr>
      <w:rFonts w:ascii="Verdana" w:eastAsiaTheme="majorEastAsia" w:hAnsi="Verdana" w:cstheme="majorBidi"/>
      <w:color w:val="3F4B79" w:themeColor="accent5"/>
      <w:sz w:val="20"/>
      <w:szCs w:val="24"/>
      <w:lang w:val="en-US"/>
    </w:rPr>
  </w:style>
  <w:style w:type="table" w:styleId="TableGrid">
    <w:name w:val="Table Grid"/>
    <w:basedOn w:val="TableNormal"/>
    <w:uiPriority w:val="59"/>
    <w:rsid w:val="003011F5"/>
    <w:pPr>
      <w:spacing w:after="0" w:line="240" w:lineRule="auto"/>
    </w:pPr>
    <w:rPr>
      <w:rFonts w:ascii="Verdana" w:hAnsi="Verdana"/>
      <w:color w:val="006E95" w:themeColor="text1"/>
      <w:sz w:val="20"/>
      <w:szCs w:val="24"/>
      <w:lang w:val="en-US"/>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Verdana" w:hAnsi="Verdana"/>
        <w:b w:val="0"/>
        <w:i w:val="0"/>
        <w:color w:val="FFFFFF" w:themeColor="background1"/>
        <w:sz w:val="18"/>
        <w:u w:color="FFFFFF" w:themeColor="background1"/>
      </w:rPr>
      <w:tblPr/>
      <w:tcPr>
        <w:shd w:val="clear" w:color="auto" w:fill="006E95" w:themeFill="text1"/>
      </w:tcPr>
    </w:tblStylePr>
    <w:tblStylePr w:type="band1Horz">
      <w:tblPr/>
      <w:tcPr>
        <w:shd w:val="clear" w:color="auto" w:fill="D4D8E8" w:themeFill="accent5" w:themeFillTint="33"/>
      </w:tcPr>
    </w:tblStylePr>
  </w:style>
  <w:style w:type="character" w:styleId="SubtleEmphasis">
    <w:name w:val="Subtle Emphasis"/>
    <w:basedOn w:val="DefaultParagraphFont"/>
    <w:uiPriority w:val="19"/>
    <w:qFormat/>
    <w:rsid w:val="004C1544"/>
    <w:rPr>
      <w:rFonts w:ascii="Verdana" w:hAnsi="Verdana"/>
      <w:i/>
      <w:iCs/>
      <w:color w:val="00B0EF" w:themeColor="text1" w:themeTint="BF"/>
    </w:rPr>
  </w:style>
  <w:style w:type="character" w:styleId="Hyperlink">
    <w:name w:val="Hyperlink"/>
    <w:rsid w:val="005C1214"/>
    <w:rPr>
      <w:color w:val="0000FF"/>
      <w:u w:val="single"/>
    </w:rPr>
  </w:style>
  <w:style w:type="paragraph" w:styleId="FootnoteText">
    <w:name w:val="footnote text"/>
    <w:basedOn w:val="Normal"/>
    <w:link w:val="FootnoteTextChar"/>
    <w:rsid w:val="005C1214"/>
    <w:pPr>
      <w:suppressAutoHyphens w:val="0"/>
      <w:spacing w:after="0"/>
      <w:jc w:val="left"/>
    </w:pPr>
    <w:rPr>
      <w:rFonts w:eastAsia="Times New Roman" w:cs="Times New Roman"/>
      <w:color w:val="000000"/>
      <w:szCs w:val="20"/>
      <w:lang w:eastAsia="de-DE"/>
    </w:rPr>
  </w:style>
  <w:style w:type="character" w:customStyle="1" w:styleId="FootnoteTextChar">
    <w:name w:val="Footnote Text Char"/>
    <w:basedOn w:val="DefaultParagraphFont"/>
    <w:link w:val="FootnoteText"/>
    <w:rsid w:val="005C1214"/>
    <w:rPr>
      <w:rFonts w:ascii="Verdana" w:eastAsia="Times New Roman" w:hAnsi="Verdana" w:cs="Times New Roman"/>
      <w:color w:val="000000"/>
      <w:sz w:val="20"/>
      <w:szCs w:val="20"/>
      <w:lang w:eastAsia="de-DE"/>
    </w:rPr>
  </w:style>
  <w:style w:type="character" w:styleId="FootnoteReference">
    <w:name w:val="footnote reference"/>
    <w:basedOn w:val="DefaultParagraphFont"/>
    <w:rsid w:val="005C1214"/>
    <w:rPr>
      <w:vertAlign w:val="superscript"/>
    </w:rPr>
  </w:style>
  <w:style w:type="paragraph" w:styleId="ListParagraph">
    <w:name w:val="List Paragraph"/>
    <w:basedOn w:val="Normal"/>
    <w:uiPriority w:val="34"/>
    <w:qFormat/>
    <w:rsid w:val="00871412"/>
    <w:pPr>
      <w:ind w:left="720"/>
      <w:contextualSpacing/>
    </w:pPr>
  </w:style>
  <w:style w:type="paragraph" w:styleId="Revision">
    <w:name w:val="Revision"/>
    <w:hidden/>
    <w:uiPriority w:val="99"/>
    <w:semiHidden/>
    <w:rsid w:val="00540782"/>
    <w:pPr>
      <w:spacing w:after="0" w:line="240" w:lineRule="auto"/>
    </w:pPr>
    <w:rPr>
      <w:rFonts w:ascii="Verdana" w:hAnsi="Verdana"/>
      <w:color w:val="2D659A" w:themeColor="text2" w:themeShade="BF"/>
      <w:sz w:val="20"/>
      <w:szCs w:val="24"/>
    </w:rPr>
  </w:style>
  <w:style w:type="character" w:styleId="UnresolvedMention">
    <w:name w:val="Unresolved Mention"/>
    <w:basedOn w:val="DefaultParagraphFont"/>
    <w:uiPriority w:val="99"/>
    <w:semiHidden/>
    <w:unhideWhenUsed/>
    <w:rsid w:val="00A33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34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home.treasury.gov/news/press-releases/sb00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via\OneDrive%20-%20EBF\Documents\EBF%20letterhead%20template.dotx" TargetMode="External"/></Relationships>
</file>

<file path=word/theme/theme1.xml><?xml version="1.0" encoding="utf-8"?>
<a:theme xmlns:a="http://schemas.openxmlformats.org/drawingml/2006/main" name="Slice">
  <a:themeElements>
    <a:clrScheme name="EBF Light">
      <a:dk1>
        <a:srgbClr val="006E95"/>
      </a:dk1>
      <a:lt1>
        <a:sysClr val="window" lastClr="FFFFFF"/>
      </a:lt1>
      <a:dk2>
        <a:srgbClr val="4288C8"/>
      </a:dk2>
      <a:lt2>
        <a:srgbClr val="B2B2B2"/>
      </a:lt2>
      <a:accent1>
        <a:srgbClr val="EE751E"/>
      </a:accent1>
      <a:accent2>
        <a:srgbClr val="E4291E"/>
      </a:accent2>
      <a:accent3>
        <a:srgbClr val="706F6F"/>
      </a:accent3>
      <a:accent4>
        <a:srgbClr val="4288C8"/>
      </a:accent4>
      <a:accent5>
        <a:srgbClr val="3F4B79"/>
      </a:accent5>
      <a:accent6>
        <a:srgbClr val="6DBE93"/>
      </a:accent6>
      <a:hlink>
        <a:srgbClr val="4288C8"/>
      </a:hlink>
      <a:folHlink>
        <a:srgbClr val="706F6F"/>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BF Document" ma:contentTypeID="0x010100773C14E3BB604842ACF70BF2514BB60A0078E6F7F585DCD141AF2B74916DBCFF0C" ma:contentTypeVersion="4" ma:contentTypeDescription="" ma:contentTypeScope="" ma:versionID="7b2cb50c4c49fbcb47bee8ded7635407">
  <xsd:schema xmlns:xsd="http://www.w3.org/2001/XMLSchema" xmlns:xs="http://www.w3.org/2001/XMLSchema" xmlns:p="http://schemas.microsoft.com/office/2006/metadata/properties" xmlns:ns2="2a1c6e7d-e37d-4506-a8fe-16fcbb5d3504" xmlns:ns3="b14e7600-e642-4a13-99b4-1e4712d50906" targetNamespace="http://schemas.microsoft.com/office/2006/metadata/properties" ma:root="true" ma:fieldsID="a6b57dd5b3916baee9c0613706a1ec91" ns2:_="" ns3:_="">
    <xsd:import namespace="2a1c6e7d-e37d-4506-a8fe-16fcbb5d3504"/>
    <xsd:import namespace="b14e7600-e642-4a13-99b4-1e4712d50906"/>
    <xsd:element name="properties">
      <xsd:complexType>
        <xsd:sequence>
          <xsd:element name="documentManagement">
            <xsd:complexType>
              <xsd:all>
                <xsd:element ref="ns2:EBFDocRe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c6e7d-e37d-4506-a8fe-16fcbb5d3504" elementFormDefault="qualified">
    <xsd:import namespace="http://schemas.microsoft.com/office/2006/documentManagement/types"/>
    <xsd:import namespace="http://schemas.microsoft.com/office/infopath/2007/PartnerControls"/>
    <xsd:element name="EBFDocRef" ma:index="8" nillable="true" ma:displayName="EBFDocRef" ma:internalName="EBFDocRe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4e7600-e642-4a13-99b4-1e4712d50906" elementFormDefault="qualified">
    <xsd:import namespace="http://schemas.microsoft.com/office/2006/documentManagement/types"/>
    <xsd:import namespace="http://schemas.microsoft.com/office/infopath/2007/PartnerControls"/>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BFDocRef xmlns="2a1c6e7d-e37d-4506-a8fe-16fcbb5d3504">EBF_046708</EBFDocRe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4F1008-2E3C-4379-8373-DC8847D17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c6e7d-e37d-4506-a8fe-16fcbb5d3504"/>
    <ds:schemaRef ds:uri="b14e7600-e642-4a13-99b4-1e4712d509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B24001-BB69-41F7-8BE3-9429E04C1BFD}">
  <ds:schemaRefs>
    <ds:schemaRef ds:uri="http://schemas.openxmlformats.org/officeDocument/2006/bibliography"/>
  </ds:schemaRefs>
</ds:datastoreItem>
</file>

<file path=customXml/itemProps3.xml><?xml version="1.0" encoding="utf-8"?>
<ds:datastoreItem xmlns:ds="http://schemas.openxmlformats.org/officeDocument/2006/customXml" ds:itemID="{26309909-4E60-46D7-B0BF-49FCE0A7883D}">
  <ds:schemaRefs>
    <ds:schemaRef ds:uri="http://schemas.microsoft.com/office/2006/metadata/properties"/>
    <ds:schemaRef ds:uri="http://schemas.microsoft.com/office/infopath/2007/PartnerControls"/>
    <ds:schemaRef ds:uri="2a1c6e7d-e37d-4506-a8fe-16fcbb5d3504"/>
  </ds:schemaRefs>
</ds:datastoreItem>
</file>

<file path=customXml/itemProps4.xml><?xml version="1.0" encoding="utf-8"?>
<ds:datastoreItem xmlns:ds="http://schemas.openxmlformats.org/officeDocument/2006/customXml" ds:itemID="{C7A096C3-6CEA-45C1-9F20-E085806AA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EBF letterhead template</Template>
  <TotalTime>0</TotalTime>
  <Pages>3</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Links>
    <vt:vector size="12" baseType="variant">
      <vt:variant>
        <vt:i4>1769545</vt:i4>
      </vt:variant>
      <vt:variant>
        <vt:i4>3</vt:i4>
      </vt:variant>
      <vt:variant>
        <vt:i4>0</vt:i4>
      </vt:variant>
      <vt:variant>
        <vt:i4>5</vt:i4>
      </vt:variant>
      <vt:variant>
        <vt:lpwstr>https://www.bundesbank.de/resource/blob/831866/5db5d322da2924a8d0e38cb4b7951e74/mL/t2-t2s-schulung-04-20-data.pdf</vt:lpwstr>
      </vt:variant>
      <vt:variant>
        <vt:lpwstr>page=103</vt:lpwstr>
      </vt:variant>
      <vt:variant>
        <vt:i4>5636203</vt:i4>
      </vt:variant>
      <vt:variant>
        <vt:i4>0</vt:i4>
      </vt:variant>
      <vt:variant>
        <vt:i4>0</vt:i4>
      </vt:variant>
      <vt:variant>
        <vt:i4>5</vt:i4>
      </vt:variant>
      <vt:variant>
        <vt:lpwstr>https://www.ecb.europa.eu/paym/target/tips/governance/pdf/cr/ecb.tipscr211011_TIPS-0028-URD.en.pdf?ae69ff75a8230e150a6deeed12a5e84b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Thiery</dc:creator>
  <cp:keywords/>
  <dc:description/>
  <cp:lastModifiedBy>Gonzalo Gasos</cp:lastModifiedBy>
  <cp:revision>3</cp:revision>
  <dcterms:created xsi:type="dcterms:W3CDTF">2025-04-22T09:31:00Z</dcterms:created>
  <dcterms:modified xsi:type="dcterms:W3CDTF">2025-04-22T10:00:00Z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0x010100773C14E3BB604842ACF70BF2514BB60A0078E6F7F585DCD141AF2B74916DBCFF0C</vt:lpwstr>
  </property>
</Properties>
</file>